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268DE" w14:textId="5F9AE4C5" w:rsidR="007721F9" w:rsidRPr="006632A3" w:rsidRDefault="009650D2" w:rsidP="007721F9">
      <w:pPr>
        <w:pBdr>
          <w:top w:val="nil"/>
          <w:left w:val="nil"/>
          <w:bottom w:val="single" w:sz="4" w:space="1" w:color="000000"/>
          <w:right w:val="nil"/>
          <w:between w:val="nil"/>
        </w:pBdr>
        <w:ind w:left="720" w:hanging="360"/>
        <w:rPr>
          <w:b/>
          <w:i/>
          <w:color w:val="DA291C"/>
          <w:sz w:val="36"/>
          <w:szCs w:val="36"/>
        </w:rPr>
      </w:pPr>
      <w:sdt>
        <w:sdtPr>
          <w:tag w:val="goog_rdk_0"/>
          <w:id w:val="1652255408"/>
        </w:sdtPr>
        <w:sdtEndPr/>
        <w:sdtContent/>
      </w:sdt>
      <w:sdt>
        <w:sdtPr>
          <w:tag w:val="goog_rdk_1"/>
          <w:id w:val="1136072766"/>
        </w:sdtPr>
        <w:sdtEndPr/>
        <w:sdtContent/>
      </w:sdt>
      <w:sdt>
        <w:sdtPr>
          <w:tag w:val="goog_rdk_2"/>
          <w:id w:val="1427927995"/>
        </w:sdtPr>
        <w:sdtEndPr/>
        <w:sdtContent/>
      </w:sdt>
      <w:r w:rsidR="00C0184E">
        <w:rPr>
          <w:b/>
          <w:i/>
          <w:color w:val="DA291C"/>
          <w:sz w:val="36"/>
          <w:szCs w:val="36"/>
        </w:rPr>
        <w:t>Feed the Future R</w:t>
      </w:r>
      <w:r w:rsidR="007721F9" w:rsidRPr="006632A3">
        <w:rPr>
          <w:b/>
          <w:i/>
          <w:color w:val="DA291C"/>
          <w:sz w:val="36"/>
          <w:szCs w:val="36"/>
        </w:rPr>
        <w:t xml:space="preserve">esilience in Northern Ghana </w:t>
      </w:r>
      <w:sdt>
        <w:sdtPr>
          <w:tag w:val="goog_rdk_4"/>
          <w:id w:val="-2061470309"/>
        </w:sdtPr>
        <w:sdtEndPr/>
        <w:sdtContent>
          <w:r w:rsidR="007721F9" w:rsidRPr="006632A3">
            <w:rPr>
              <w:b/>
              <w:i/>
              <w:color w:val="DA291C"/>
              <w:sz w:val="36"/>
              <w:szCs w:val="36"/>
            </w:rPr>
            <w:t>Systems</w:t>
          </w:r>
        </w:sdtContent>
      </w:sdt>
      <w:r w:rsidR="007721F9" w:rsidRPr="006632A3">
        <w:rPr>
          <w:b/>
          <w:i/>
          <w:color w:val="DA291C"/>
          <w:sz w:val="36"/>
          <w:szCs w:val="36"/>
        </w:rPr>
        <w:t xml:space="preserve"> Strengthening </w:t>
      </w:r>
      <w:r w:rsidR="00156F82">
        <w:rPr>
          <w:b/>
          <w:i/>
          <w:color w:val="DA291C"/>
          <w:sz w:val="36"/>
          <w:szCs w:val="36"/>
        </w:rPr>
        <w:t>Activity:</w:t>
      </w:r>
      <w:r w:rsidR="007721F9" w:rsidRPr="006632A3">
        <w:rPr>
          <w:b/>
          <w:i/>
          <w:color w:val="DA291C"/>
          <w:sz w:val="36"/>
          <w:szCs w:val="36"/>
        </w:rPr>
        <w:t xml:space="preserve"> Branding Implementation Plan and Marking Plan </w:t>
      </w:r>
    </w:p>
    <w:p w14:paraId="04DDDE8D" w14:textId="22D6350F" w:rsidR="007721F9" w:rsidRPr="006632A3" w:rsidRDefault="007721F9" w:rsidP="007721F9">
      <w:pPr>
        <w:rPr>
          <w:sz w:val="24"/>
          <w:szCs w:val="24"/>
        </w:rPr>
      </w:pPr>
      <w:r w:rsidRPr="006632A3">
        <w:rPr>
          <w:sz w:val="24"/>
          <w:szCs w:val="24"/>
        </w:rPr>
        <w:t>This Branding Implementation Plan and Marking Plan describes how the Contractor will deliver the message that the source of the assistance for the</w:t>
      </w:r>
      <w:r w:rsidRPr="006632A3">
        <w:rPr>
          <w:i/>
          <w:sz w:val="24"/>
          <w:szCs w:val="24"/>
        </w:rPr>
        <w:t xml:space="preserve"> </w:t>
      </w:r>
      <w:r w:rsidR="00DA7F53" w:rsidRPr="003E59C2">
        <w:rPr>
          <w:i/>
          <w:sz w:val="24"/>
          <w:szCs w:val="24"/>
        </w:rPr>
        <w:t xml:space="preserve">Feed the </w:t>
      </w:r>
      <w:r w:rsidR="002457EA" w:rsidRPr="003E59C2">
        <w:rPr>
          <w:i/>
          <w:sz w:val="24"/>
          <w:szCs w:val="24"/>
        </w:rPr>
        <w:t>Future</w:t>
      </w:r>
      <w:r w:rsidR="00DA7F53" w:rsidRPr="003E59C2">
        <w:rPr>
          <w:i/>
          <w:sz w:val="24"/>
          <w:szCs w:val="24"/>
        </w:rPr>
        <w:t xml:space="preserve"> R</w:t>
      </w:r>
      <w:r w:rsidRPr="003E59C2">
        <w:rPr>
          <w:i/>
          <w:sz w:val="24"/>
          <w:szCs w:val="24"/>
        </w:rPr>
        <w:t xml:space="preserve">esilience in Northern Ghana Systems Strengthening </w:t>
      </w:r>
      <w:r w:rsidR="000F1A19" w:rsidRPr="003E59C2">
        <w:rPr>
          <w:i/>
          <w:sz w:val="24"/>
          <w:szCs w:val="24"/>
        </w:rPr>
        <w:t>activity</w:t>
      </w:r>
      <w:r w:rsidR="000F1A19">
        <w:rPr>
          <w:i/>
          <w:sz w:val="24"/>
          <w:szCs w:val="24"/>
        </w:rPr>
        <w:t xml:space="preserve"> </w:t>
      </w:r>
      <w:r w:rsidRPr="006632A3">
        <w:rPr>
          <w:sz w:val="24"/>
          <w:szCs w:val="24"/>
        </w:rPr>
        <w:t xml:space="preserve">is from the American people. The content responds to the Branding Strategy and Section D of Contract No. 72064122C00002, aligns with the technical approach detailed in the performance work statement, and complies with the guidance for branding marking of direct contracts in Automated Directives System (ADS) 320. All costs related to the Branding Implementation Plan and Marking Plan have been incorporated into the </w:t>
      </w:r>
      <w:r w:rsidR="000F1A19" w:rsidRPr="003E59C2">
        <w:rPr>
          <w:sz w:val="24"/>
          <w:szCs w:val="24"/>
        </w:rPr>
        <w:t>Feed the Future Resilience in Northern Ghana Systems Strengthening</w:t>
      </w:r>
      <w:r w:rsidR="000F1A19" w:rsidRPr="000F1A19">
        <w:rPr>
          <w:sz w:val="24"/>
          <w:szCs w:val="24"/>
        </w:rPr>
        <w:t xml:space="preserve"> </w:t>
      </w:r>
      <w:r w:rsidRPr="006632A3">
        <w:rPr>
          <w:sz w:val="24"/>
          <w:szCs w:val="24"/>
        </w:rPr>
        <w:t>budget.</w:t>
      </w:r>
    </w:p>
    <w:p w14:paraId="4EAF68CA" w14:textId="77777777" w:rsidR="007721F9" w:rsidRPr="006632A3" w:rsidRDefault="007721F9" w:rsidP="007721F9">
      <w:pPr>
        <w:keepNext/>
        <w:pBdr>
          <w:top w:val="nil"/>
          <w:left w:val="nil"/>
          <w:bottom w:val="nil"/>
          <w:right w:val="nil"/>
          <w:between w:val="nil"/>
        </w:pBdr>
        <w:spacing w:after="60"/>
        <w:ind w:left="720" w:hanging="720"/>
        <w:rPr>
          <w:b/>
          <w:color w:val="595959"/>
          <w:sz w:val="28"/>
          <w:szCs w:val="28"/>
        </w:rPr>
      </w:pPr>
      <w:r w:rsidRPr="006632A3">
        <w:rPr>
          <w:b/>
          <w:color w:val="595959"/>
          <w:sz w:val="28"/>
          <w:szCs w:val="28"/>
        </w:rPr>
        <w:t>1. Branding Implementation Plan</w:t>
      </w:r>
    </w:p>
    <w:p w14:paraId="3A53F59C" w14:textId="64778142" w:rsidR="007721F9" w:rsidRPr="006632A3" w:rsidRDefault="007721F9" w:rsidP="007721F9">
      <w:pPr>
        <w:spacing w:after="0"/>
        <w:rPr>
          <w:sz w:val="24"/>
          <w:szCs w:val="24"/>
        </w:rPr>
      </w:pPr>
      <w:r w:rsidRPr="006632A3">
        <w:rPr>
          <w:sz w:val="24"/>
          <w:szCs w:val="24"/>
        </w:rPr>
        <w:t xml:space="preserve">This Branding Implementation Plan describes how the activity will be communicated to partners and beneficiaries and promoted to host-country citizens. It outlines the events and materials the Contractor will use to deliver the message that the assistance is from the American people. The contents adhere to the guidance in </w:t>
      </w:r>
      <w:r w:rsidRPr="003E59C2">
        <w:rPr>
          <w:sz w:val="24"/>
          <w:szCs w:val="24"/>
        </w:rPr>
        <w:t xml:space="preserve">ADS 320.3.2.2 and the Branding Strategy in the </w:t>
      </w:r>
      <w:r w:rsidR="0020430B" w:rsidRPr="003E59C2">
        <w:rPr>
          <w:sz w:val="24"/>
          <w:szCs w:val="24"/>
        </w:rPr>
        <w:t xml:space="preserve">Feed the Future </w:t>
      </w:r>
      <w:r w:rsidR="00601BBE" w:rsidRPr="003E59C2">
        <w:rPr>
          <w:sz w:val="24"/>
          <w:szCs w:val="24"/>
        </w:rPr>
        <w:t>Resilience</w:t>
      </w:r>
      <w:r w:rsidR="004C37F2" w:rsidRPr="003E59C2">
        <w:rPr>
          <w:sz w:val="24"/>
          <w:szCs w:val="24"/>
        </w:rPr>
        <w:t xml:space="preserve"> in </w:t>
      </w:r>
      <w:r w:rsidRPr="003E59C2">
        <w:rPr>
          <w:sz w:val="24"/>
          <w:szCs w:val="24"/>
        </w:rPr>
        <w:t>N</w:t>
      </w:r>
      <w:r w:rsidR="004C37F2" w:rsidRPr="003E59C2">
        <w:rPr>
          <w:sz w:val="24"/>
          <w:szCs w:val="24"/>
        </w:rPr>
        <w:t xml:space="preserve">orthern </w:t>
      </w:r>
      <w:r w:rsidRPr="003E59C2">
        <w:rPr>
          <w:sz w:val="24"/>
          <w:szCs w:val="24"/>
        </w:rPr>
        <w:t>G</w:t>
      </w:r>
      <w:r w:rsidR="004C37F2" w:rsidRPr="003E59C2">
        <w:rPr>
          <w:sz w:val="24"/>
          <w:szCs w:val="24"/>
        </w:rPr>
        <w:t>hana</w:t>
      </w:r>
      <w:r w:rsidRPr="003E59C2">
        <w:rPr>
          <w:sz w:val="24"/>
          <w:szCs w:val="24"/>
        </w:rPr>
        <w:t xml:space="preserve"> </w:t>
      </w:r>
      <w:r w:rsidRPr="003E59C2">
        <w:rPr>
          <w:color w:val="000000"/>
          <w:sz w:val="24"/>
          <w:szCs w:val="24"/>
        </w:rPr>
        <w:t>Systems Strengthening</w:t>
      </w:r>
      <w:r w:rsidRPr="003E59C2">
        <w:rPr>
          <w:sz w:val="24"/>
          <w:szCs w:val="24"/>
        </w:rPr>
        <w:t xml:space="preserve"> contract.</w:t>
      </w:r>
    </w:p>
    <w:p w14:paraId="42022E8C" w14:textId="77777777" w:rsidR="007721F9" w:rsidRPr="006632A3" w:rsidRDefault="007721F9" w:rsidP="007721F9">
      <w:pPr>
        <w:spacing w:after="0"/>
        <w:rPr>
          <w:sz w:val="24"/>
          <w:szCs w:val="24"/>
        </w:rPr>
      </w:pPr>
    </w:p>
    <w:p w14:paraId="68C098A2" w14:textId="77777777" w:rsidR="007721F9" w:rsidRPr="006632A3" w:rsidRDefault="007721F9" w:rsidP="007721F9">
      <w:pPr>
        <w:keepNext/>
        <w:pBdr>
          <w:top w:val="nil"/>
          <w:left w:val="nil"/>
          <w:bottom w:val="nil"/>
          <w:right w:val="nil"/>
          <w:between w:val="nil"/>
        </w:pBdr>
        <w:spacing w:after="20"/>
        <w:ind w:left="720" w:hanging="720"/>
        <w:rPr>
          <w:b/>
          <w:i/>
          <w:color w:val="2F7D93"/>
          <w:sz w:val="24"/>
          <w:szCs w:val="24"/>
        </w:rPr>
      </w:pPr>
      <w:r w:rsidRPr="006632A3">
        <w:rPr>
          <w:b/>
          <w:i/>
          <w:color w:val="2F7D93"/>
          <w:sz w:val="24"/>
          <w:szCs w:val="24"/>
        </w:rPr>
        <w:t>1.1 Positioning</w:t>
      </w:r>
    </w:p>
    <w:p w14:paraId="3FAC6EA5" w14:textId="398332FE" w:rsidR="007721F9" w:rsidRPr="006632A3" w:rsidRDefault="007721F9" w:rsidP="007721F9">
      <w:pPr>
        <w:pBdr>
          <w:top w:val="nil"/>
          <w:left w:val="nil"/>
          <w:bottom w:val="nil"/>
          <w:right w:val="nil"/>
          <w:between w:val="nil"/>
        </w:pBdr>
        <w:rPr>
          <w:color w:val="000000"/>
          <w:sz w:val="24"/>
          <w:szCs w:val="24"/>
        </w:rPr>
      </w:pPr>
      <w:r w:rsidRPr="006632A3">
        <w:rPr>
          <w:color w:val="000000"/>
          <w:sz w:val="24"/>
          <w:szCs w:val="24"/>
        </w:rPr>
        <w:t xml:space="preserve">In branding the </w:t>
      </w:r>
      <w:r w:rsidR="00CF44B8">
        <w:rPr>
          <w:color w:val="000000"/>
          <w:sz w:val="24"/>
          <w:szCs w:val="24"/>
        </w:rPr>
        <w:t xml:space="preserve">work of </w:t>
      </w:r>
      <w:r w:rsidR="0020430B" w:rsidRPr="003E59C2">
        <w:rPr>
          <w:color w:val="000000"/>
          <w:sz w:val="24"/>
          <w:szCs w:val="24"/>
        </w:rPr>
        <w:t xml:space="preserve">Feed the Future </w:t>
      </w:r>
      <w:r w:rsidR="00CB1921" w:rsidRPr="003E59C2">
        <w:rPr>
          <w:color w:val="000000"/>
          <w:sz w:val="24"/>
          <w:szCs w:val="24"/>
        </w:rPr>
        <w:t>Resilien</w:t>
      </w:r>
      <w:r w:rsidR="00C054D3" w:rsidRPr="003E59C2">
        <w:rPr>
          <w:color w:val="000000"/>
          <w:sz w:val="24"/>
          <w:szCs w:val="24"/>
        </w:rPr>
        <w:t xml:space="preserve">ce </w:t>
      </w:r>
      <w:r w:rsidR="00E0708D" w:rsidRPr="003E59C2">
        <w:rPr>
          <w:color w:val="000000"/>
          <w:sz w:val="24"/>
          <w:szCs w:val="24"/>
        </w:rPr>
        <w:t xml:space="preserve">in </w:t>
      </w:r>
      <w:r w:rsidR="00162163" w:rsidRPr="003E59C2">
        <w:rPr>
          <w:color w:val="000000"/>
          <w:sz w:val="24"/>
          <w:szCs w:val="24"/>
        </w:rPr>
        <w:t xml:space="preserve">Northern Ghana </w:t>
      </w:r>
      <w:r w:rsidR="00261B1C" w:rsidRPr="003E59C2">
        <w:rPr>
          <w:color w:val="000000"/>
          <w:sz w:val="24"/>
          <w:szCs w:val="24"/>
        </w:rPr>
        <w:t>Systems Stren</w:t>
      </w:r>
      <w:r w:rsidR="0020060F" w:rsidRPr="003E59C2">
        <w:rPr>
          <w:color w:val="000000"/>
          <w:sz w:val="24"/>
          <w:szCs w:val="24"/>
        </w:rPr>
        <w:t xml:space="preserve">gthening </w:t>
      </w:r>
      <w:r w:rsidR="00CF44B8" w:rsidRPr="003E59C2">
        <w:rPr>
          <w:color w:val="000000"/>
          <w:sz w:val="24"/>
          <w:szCs w:val="24"/>
        </w:rPr>
        <w:t>a</w:t>
      </w:r>
      <w:r w:rsidR="0020060F" w:rsidRPr="003E59C2">
        <w:rPr>
          <w:color w:val="000000"/>
          <w:sz w:val="24"/>
          <w:szCs w:val="24"/>
        </w:rPr>
        <w:t xml:space="preserve">ctivity, </w:t>
      </w:r>
      <w:r w:rsidRPr="003E59C2">
        <w:rPr>
          <w:color w:val="000000"/>
          <w:sz w:val="24"/>
          <w:szCs w:val="24"/>
        </w:rPr>
        <w:t>the Contractor will position</w:t>
      </w:r>
      <w:r w:rsidR="00D32F6D" w:rsidRPr="003E59C2">
        <w:rPr>
          <w:color w:val="000000"/>
          <w:sz w:val="24"/>
          <w:szCs w:val="24"/>
        </w:rPr>
        <w:t xml:space="preserve"> Feed the Futur</w:t>
      </w:r>
      <w:r w:rsidR="0003073F" w:rsidRPr="003E59C2">
        <w:rPr>
          <w:color w:val="000000"/>
          <w:sz w:val="24"/>
          <w:szCs w:val="24"/>
        </w:rPr>
        <w:t>e’s</w:t>
      </w:r>
      <w:r w:rsidRPr="006632A3">
        <w:rPr>
          <w:color w:val="000000"/>
          <w:sz w:val="24"/>
          <w:szCs w:val="24"/>
        </w:rPr>
        <w:t xml:space="preserve"> name in each intervention to ensure that people recognize the U.S. government and the American people’s support for actions that help strengthen systems to attain measurable improvements in the nutrition and resilience of vulnerable populations in northern Ghana, particularly reproductive-aged women and children under five years old. The following are overall positioning parameters, in line with </w:t>
      </w:r>
      <w:r w:rsidR="000207A4" w:rsidRPr="003E59C2">
        <w:rPr>
          <w:color w:val="000000"/>
          <w:sz w:val="24"/>
          <w:szCs w:val="24"/>
        </w:rPr>
        <w:t>Feed the Future</w:t>
      </w:r>
      <w:r w:rsidR="00315865" w:rsidRPr="003E59C2">
        <w:rPr>
          <w:color w:val="000000"/>
          <w:sz w:val="24"/>
          <w:szCs w:val="24"/>
        </w:rPr>
        <w:t xml:space="preserve"> and USAID</w:t>
      </w:r>
      <w:r w:rsidRPr="003E59C2">
        <w:rPr>
          <w:color w:val="000000"/>
          <w:sz w:val="24"/>
          <w:szCs w:val="24"/>
        </w:rPr>
        <w:t>’s</w:t>
      </w:r>
      <w:r w:rsidRPr="006632A3">
        <w:rPr>
          <w:color w:val="000000"/>
          <w:sz w:val="24"/>
          <w:szCs w:val="24"/>
        </w:rPr>
        <w:t xml:space="preserve"> Branding Strategy for this activity:</w:t>
      </w:r>
    </w:p>
    <w:p w14:paraId="551D8A14" w14:textId="3D860882" w:rsidR="007721F9" w:rsidRPr="006632A3" w:rsidRDefault="007721F9" w:rsidP="007721F9">
      <w:pPr>
        <w:numPr>
          <w:ilvl w:val="0"/>
          <w:numId w:val="2"/>
        </w:numPr>
        <w:pBdr>
          <w:top w:val="nil"/>
          <w:left w:val="nil"/>
          <w:bottom w:val="nil"/>
          <w:right w:val="nil"/>
          <w:between w:val="nil"/>
        </w:pBdr>
      </w:pPr>
      <w:r w:rsidRPr="006632A3">
        <w:rPr>
          <w:i/>
          <w:color w:val="000000"/>
          <w:sz w:val="24"/>
          <w:szCs w:val="24"/>
        </w:rPr>
        <w:t>Activity name:</w:t>
      </w:r>
      <w:r w:rsidRPr="006632A3">
        <w:rPr>
          <w:color w:val="000000"/>
          <w:sz w:val="24"/>
          <w:szCs w:val="24"/>
        </w:rPr>
        <w:t xml:space="preserve"> “</w:t>
      </w:r>
      <w:bookmarkStart w:id="0" w:name="_Hlk128147614"/>
      <w:r w:rsidR="000205C4" w:rsidRPr="003E59C2">
        <w:rPr>
          <w:color w:val="000000"/>
          <w:sz w:val="24"/>
          <w:szCs w:val="24"/>
        </w:rPr>
        <w:t xml:space="preserve">Feed the Future </w:t>
      </w:r>
      <w:r w:rsidRPr="003E59C2">
        <w:rPr>
          <w:color w:val="000000"/>
          <w:sz w:val="24"/>
          <w:szCs w:val="24"/>
        </w:rPr>
        <w:t>Resilience in Northern Ghana</w:t>
      </w:r>
      <w:r w:rsidR="00E60203" w:rsidRPr="003E59C2">
        <w:rPr>
          <w:color w:val="000000"/>
          <w:sz w:val="24"/>
          <w:szCs w:val="24"/>
        </w:rPr>
        <w:t xml:space="preserve"> </w:t>
      </w:r>
      <w:r w:rsidRPr="003E59C2">
        <w:rPr>
          <w:color w:val="000000"/>
          <w:sz w:val="24"/>
          <w:szCs w:val="24"/>
        </w:rPr>
        <w:t>Systems Strengthening</w:t>
      </w:r>
      <w:bookmarkEnd w:id="0"/>
      <w:r w:rsidRPr="003232F2">
        <w:rPr>
          <w:color w:val="000000"/>
          <w:sz w:val="24"/>
          <w:szCs w:val="24"/>
        </w:rPr>
        <w:t xml:space="preserve">” </w:t>
      </w:r>
    </w:p>
    <w:p w14:paraId="69470ECF" w14:textId="3C49A6B1" w:rsidR="007721F9" w:rsidRPr="006632A3" w:rsidRDefault="007721F9" w:rsidP="007721F9">
      <w:pPr>
        <w:numPr>
          <w:ilvl w:val="0"/>
          <w:numId w:val="2"/>
        </w:numPr>
        <w:pBdr>
          <w:top w:val="nil"/>
          <w:left w:val="nil"/>
          <w:bottom w:val="nil"/>
          <w:right w:val="nil"/>
          <w:between w:val="nil"/>
        </w:pBdr>
      </w:pPr>
      <w:r w:rsidRPr="006632A3">
        <w:rPr>
          <w:i/>
          <w:color w:val="000000"/>
          <w:sz w:val="24"/>
          <w:szCs w:val="24"/>
        </w:rPr>
        <w:t xml:space="preserve">Level of visibility: </w:t>
      </w:r>
      <w:r w:rsidRPr="006632A3">
        <w:rPr>
          <w:color w:val="000000"/>
          <w:sz w:val="24"/>
          <w:szCs w:val="24"/>
        </w:rPr>
        <w:t>The Contractor will ensure a high level of</w:t>
      </w:r>
      <w:r w:rsidR="009429AC">
        <w:rPr>
          <w:color w:val="000000"/>
          <w:sz w:val="24"/>
          <w:szCs w:val="24"/>
        </w:rPr>
        <w:t xml:space="preserve"> </w:t>
      </w:r>
      <w:r w:rsidR="009429AC" w:rsidRPr="003E59C2">
        <w:rPr>
          <w:color w:val="000000"/>
          <w:sz w:val="24"/>
          <w:szCs w:val="24"/>
        </w:rPr>
        <w:t>Feed the Future and</w:t>
      </w:r>
      <w:r w:rsidRPr="003E59C2">
        <w:rPr>
          <w:color w:val="000000"/>
          <w:sz w:val="24"/>
          <w:szCs w:val="24"/>
        </w:rPr>
        <w:t xml:space="preserve"> USAID visibility.</w:t>
      </w:r>
      <w:r w:rsidRPr="003232F2">
        <w:rPr>
          <w:color w:val="000000"/>
          <w:sz w:val="24"/>
          <w:szCs w:val="24"/>
        </w:rPr>
        <w:t xml:space="preserve"> The Contractor will prominently display</w:t>
      </w:r>
      <w:r w:rsidR="00E87CF5" w:rsidRPr="003232F2">
        <w:rPr>
          <w:color w:val="000000"/>
          <w:sz w:val="24"/>
          <w:szCs w:val="24"/>
        </w:rPr>
        <w:t xml:space="preserve"> </w:t>
      </w:r>
      <w:r w:rsidR="00E87CF5" w:rsidRPr="003E59C2">
        <w:rPr>
          <w:color w:val="000000"/>
          <w:sz w:val="24"/>
          <w:szCs w:val="24"/>
        </w:rPr>
        <w:t>Feed the Future and</w:t>
      </w:r>
      <w:r w:rsidRPr="003E59C2">
        <w:rPr>
          <w:color w:val="000000"/>
          <w:sz w:val="24"/>
          <w:szCs w:val="24"/>
        </w:rPr>
        <w:t xml:space="preserve"> USAID’s</w:t>
      </w:r>
      <w:r w:rsidRPr="006632A3">
        <w:rPr>
          <w:color w:val="000000"/>
          <w:sz w:val="24"/>
          <w:szCs w:val="24"/>
        </w:rPr>
        <w:t xml:space="preserve"> identit</w:t>
      </w:r>
      <w:r w:rsidR="004162EB">
        <w:rPr>
          <w:color w:val="000000"/>
          <w:sz w:val="24"/>
          <w:szCs w:val="24"/>
        </w:rPr>
        <w:t xml:space="preserve">ies </w:t>
      </w:r>
      <w:r w:rsidRPr="006632A3">
        <w:rPr>
          <w:color w:val="000000"/>
          <w:sz w:val="24"/>
          <w:szCs w:val="24"/>
        </w:rPr>
        <w:t xml:space="preserve">on commodities or equipment; in </w:t>
      </w:r>
      <w:r w:rsidR="004F37DB">
        <w:rPr>
          <w:color w:val="000000"/>
          <w:sz w:val="24"/>
          <w:szCs w:val="24"/>
        </w:rPr>
        <w:t>print</w:t>
      </w:r>
      <w:r w:rsidRPr="006632A3">
        <w:rPr>
          <w:color w:val="000000"/>
          <w:sz w:val="24"/>
          <w:szCs w:val="24"/>
        </w:rPr>
        <w:t xml:space="preserve">, audio, visual, or electronic public communications; in studies, reports, publications, websites, and promotional and informational products; and events. </w:t>
      </w:r>
    </w:p>
    <w:p w14:paraId="66100A77" w14:textId="52211C61" w:rsidR="007721F9" w:rsidRPr="006632A3" w:rsidRDefault="007721F9" w:rsidP="007721F9">
      <w:pPr>
        <w:numPr>
          <w:ilvl w:val="0"/>
          <w:numId w:val="2"/>
        </w:numPr>
        <w:pBdr>
          <w:top w:val="nil"/>
          <w:left w:val="nil"/>
          <w:bottom w:val="nil"/>
          <w:right w:val="nil"/>
          <w:between w:val="nil"/>
        </w:pBdr>
      </w:pPr>
      <w:r w:rsidRPr="006632A3">
        <w:rPr>
          <w:i/>
          <w:color w:val="000000"/>
          <w:sz w:val="24"/>
          <w:szCs w:val="24"/>
        </w:rPr>
        <w:t>Logo of Program:</w:t>
      </w:r>
      <w:r w:rsidRPr="006632A3">
        <w:rPr>
          <w:color w:val="000000"/>
          <w:sz w:val="24"/>
          <w:szCs w:val="24"/>
        </w:rPr>
        <w:t xml:space="preserve"> The Contractor confirms there will be no logo for this activity. The </w:t>
      </w:r>
      <w:r w:rsidR="001427A9" w:rsidRPr="00555EF7">
        <w:rPr>
          <w:color w:val="000000"/>
          <w:sz w:val="24"/>
          <w:szCs w:val="24"/>
        </w:rPr>
        <w:t>Feed the Future</w:t>
      </w:r>
      <w:r w:rsidR="001427A9">
        <w:rPr>
          <w:color w:val="000000"/>
          <w:sz w:val="24"/>
          <w:szCs w:val="24"/>
        </w:rPr>
        <w:t xml:space="preserve"> </w:t>
      </w:r>
      <w:r w:rsidR="004162EB">
        <w:rPr>
          <w:color w:val="000000"/>
          <w:sz w:val="24"/>
          <w:szCs w:val="24"/>
        </w:rPr>
        <w:t xml:space="preserve">and </w:t>
      </w:r>
      <w:r w:rsidRPr="006632A3">
        <w:rPr>
          <w:color w:val="000000"/>
          <w:sz w:val="24"/>
          <w:szCs w:val="24"/>
        </w:rPr>
        <w:t>USAID identity will be used to brand materials and events.</w:t>
      </w:r>
    </w:p>
    <w:p w14:paraId="106E6D52" w14:textId="77777777" w:rsidR="007721F9" w:rsidRPr="006632A3" w:rsidRDefault="007721F9" w:rsidP="007721F9">
      <w:pPr>
        <w:spacing w:after="0"/>
        <w:rPr>
          <w:b/>
          <w:i/>
          <w:color w:val="2F7D93"/>
          <w:sz w:val="24"/>
          <w:szCs w:val="24"/>
        </w:rPr>
      </w:pPr>
      <w:r w:rsidRPr="006632A3">
        <w:br w:type="page"/>
      </w:r>
    </w:p>
    <w:p w14:paraId="7764A074" w14:textId="77777777" w:rsidR="007721F9" w:rsidRPr="006632A3" w:rsidRDefault="007721F9" w:rsidP="007721F9">
      <w:pPr>
        <w:keepNext/>
        <w:pBdr>
          <w:top w:val="nil"/>
          <w:left w:val="nil"/>
          <w:bottom w:val="nil"/>
          <w:right w:val="nil"/>
          <w:between w:val="nil"/>
        </w:pBdr>
        <w:spacing w:after="20"/>
        <w:ind w:left="720" w:hanging="720"/>
        <w:rPr>
          <w:b/>
          <w:i/>
          <w:color w:val="2F7D93"/>
          <w:sz w:val="24"/>
          <w:szCs w:val="24"/>
        </w:rPr>
      </w:pPr>
      <w:r w:rsidRPr="006632A3">
        <w:rPr>
          <w:b/>
          <w:i/>
          <w:color w:val="2F7D93"/>
          <w:sz w:val="24"/>
          <w:szCs w:val="24"/>
        </w:rPr>
        <w:lastRenderedPageBreak/>
        <w:t>1.2 Publicizing the Activity</w:t>
      </w:r>
    </w:p>
    <w:p w14:paraId="6A6C6EC9" w14:textId="2BC50250" w:rsidR="007721F9" w:rsidRPr="006632A3" w:rsidRDefault="007721F9" w:rsidP="007721F9">
      <w:pPr>
        <w:rPr>
          <w:sz w:val="24"/>
          <w:szCs w:val="24"/>
        </w:rPr>
      </w:pPr>
      <w:r w:rsidRPr="006632A3">
        <w:rPr>
          <w:b/>
          <w:sz w:val="24"/>
          <w:szCs w:val="24"/>
        </w:rPr>
        <w:t xml:space="preserve">Target audiences: </w:t>
      </w:r>
      <w:r w:rsidRPr="006632A3">
        <w:rPr>
          <w:sz w:val="24"/>
          <w:szCs w:val="24"/>
        </w:rPr>
        <w:t>The following are illustrative audiences for communicating</w:t>
      </w:r>
      <w:r w:rsidR="005F41CF">
        <w:rPr>
          <w:sz w:val="24"/>
          <w:szCs w:val="24"/>
        </w:rPr>
        <w:t xml:space="preserve"> </w:t>
      </w:r>
      <w:r w:rsidRPr="006632A3">
        <w:rPr>
          <w:sz w:val="24"/>
          <w:szCs w:val="24"/>
        </w:rPr>
        <w:t>messages about the activity and the source of support.</w:t>
      </w:r>
    </w:p>
    <w:p w14:paraId="5CE2FD8B" w14:textId="77777777" w:rsidR="007721F9" w:rsidRPr="006632A3" w:rsidRDefault="007721F9" w:rsidP="007721F9">
      <w:pPr>
        <w:pBdr>
          <w:top w:val="nil"/>
          <w:left w:val="nil"/>
          <w:bottom w:val="nil"/>
          <w:right w:val="nil"/>
          <w:between w:val="nil"/>
        </w:pBdr>
        <w:rPr>
          <w:color w:val="000000"/>
          <w:sz w:val="24"/>
          <w:szCs w:val="24"/>
        </w:rPr>
      </w:pPr>
      <w:r w:rsidRPr="006632A3">
        <w:rPr>
          <w:color w:val="000000"/>
          <w:sz w:val="24"/>
          <w:szCs w:val="24"/>
          <w:u w:val="single"/>
        </w:rPr>
        <w:t>Primary audience</w:t>
      </w:r>
      <w:r w:rsidRPr="006632A3">
        <w:rPr>
          <w:color w:val="000000"/>
          <w:sz w:val="24"/>
          <w:szCs w:val="24"/>
        </w:rPr>
        <w:t>:</w:t>
      </w:r>
    </w:p>
    <w:p w14:paraId="0B25A640"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Women of reproductive age and their families</w:t>
      </w:r>
    </w:p>
    <w:p w14:paraId="3E67962E"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 xml:space="preserve">Adolescent girls and their families </w:t>
      </w:r>
    </w:p>
    <w:p w14:paraId="26F92DA4"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Families with children under five in target geographies</w:t>
      </w:r>
    </w:p>
    <w:p w14:paraId="4058B8A1"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Front-line service providers in agriculture; health; nutrition; social protection; and/or water, sanitation, and hygiene (WASH) sectors in target geographies</w:t>
      </w:r>
    </w:p>
    <w:p w14:paraId="26AFE057" w14:textId="77777777" w:rsidR="007721F9" w:rsidRPr="006632A3" w:rsidRDefault="007721F9" w:rsidP="007721F9">
      <w:pPr>
        <w:numPr>
          <w:ilvl w:val="0"/>
          <w:numId w:val="1"/>
        </w:numPr>
        <w:pBdr>
          <w:top w:val="nil"/>
          <w:left w:val="nil"/>
          <w:bottom w:val="nil"/>
          <w:right w:val="nil"/>
          <w:between w:val="nil"/>
        </w:pBdr>
        <w:spacing w:after="120"/>
      </w:pPr>
      <w:r w:rsidRPr="006632A3">
        <w:rPr>
          <w:color w:val="000000"/>
          <w:sz w:val="24"/>
          <w:szCs w:val="24"/>
        </w:rPr>
        <w:t>Government of Ghana (GOG) counterparts and officials—in agriculture, health, nutrition, social protection, and/or WASH sectors—at the regional level and at the district, subdistrict, and community levels in target geographies</w:t>
      </w:r>
    </w:p>
    <w:p w14:paraId="443E3A01" w14:textId="77777777" w:rsidR="007721F9" w:rsidRPr="006632A3" w:rsidRDefault="007721F9" w:rsidP="007721F9">
      <w:pPr>
        <w:pBdr>
          <w:top w:val="nil"/>
          <w:left w:val="nil"/>
          <w:bottom w:val="nil"/>
          <w:right w:val="nil"/>
          <w:between w:val="nil"/>
        </w:pBdr>
        <w:rPr>
          <w:color w:val="000000"/>
          <w:sz w:val="24"/>
          <w:szCs w:val="24"/>
          <w:u w:val="single"/>
        </w:rPr>
      </w:pPr>
      <w:r w:rsidRPr="006632A3">
        <w:rPr>
          <w:color w:val="000000"/>
          <w:sz w:val="24"/>
          <w:szCs w:val="24"/>
          <w:u w:val="single"/>
        </w:rPr>
        <w:t>Secondary audience</w:t>
      </w:r>
      <w:r w:rsidRPr="006632A3">
        <w:rPr>
          <w:color w:val="000000"/>
          <w:sz w:val="24"/>
          <w:szCs w:val="24"/>
        </w:rPr>
        <w:t>:</w:t>
      </w:r>
    </w:p>
    <w:p w14:paraId="06AEA9A0" w14:textId="509D7836" w:rsidR="007058A7" w:rsidRPr="003E59C2" w:rsidRDefault="007058A7" w:rsidP="007721F9">
      <w:pPr>
        <w:numPr>
          <w:ilvl w:val="0"/>
          <w:numId w:val="1"/>
        </w:numPr>
        <w:pBdr>
          <w:top w:val="nil"/>
          <w:left w:val="nil"/>
          <w:bottom w:val="nil"/>
          <w:right w:val="nil"/>
          <w:between w:val="nil"/>
        </w:pBdr>
        <w:spacing w:after="60"/>
        <w:rPr>
          <w:sz w:val="24"/>
          <w:szCs w:val="24"/>
        </w:rPr>
      </w:pPr>
      <w:r w:rsidRPr="003E59C2">
        <w:rPr>
          <w:sz w:val="24"/>
          <w:szCs w:val="24"/>
        </w:rPr>
        <w:t>Feed the Future</w:t>
      </w:r>
    </w:p>
    <w:p w14:paraId="22440E62" w14:textId="36EEEAB3"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USAID</w:t>
      </w:r>
    </w:p>
    <w:p w14:paraId="27E88D29"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USAID Implementing Partners</w:t>
      </w:r>
    </w:p>
    <w:p w14:paraId="1F7C2348"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 xml:space="preserve">Entities engaged through Grants under Contract (GUCs) </w:t>
      </w:r>
    </w:p>
    <w:p w14:paraId="78623C46" w14:textId="020530E5"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Other entities with potential to partner with the activity</w:t>
      </w:r>
    </w:p>
    <w:p w14:paraId="6BAF2F54" w14:textId="77777777" w:rsidR="007721F9" w:rsidRPr="006632A3" w:rsidRDefault="007721F9" w:rsidP="007721F9">
      <w:pPr>
        <w:numPr>
          <w:ilvl w:val="0"/>
          <w:numId w:val="1"/>
        </w:numPr>
        <w:pBdr>
          <w:top w:val="nil"/>
          <w:left w:val="nil"/>
          <w:bottom w:val="nil"/>
          <w:right w:val="nil"/>
          <w:between w:val="nil"/>
        </w:pBdr>
        <w:spacing w:after="120"/>
      </w:pPr>
      <w:r w:rsidRPr="006632A3">
        <w:rPr>
          <w:color w:val="000000"/>
          <w:sz w:val="24"/>
          <w:szCs w:val="24"/>
        </w:rPr>
        <w:t>Multilateral Organizations (World Health Organization, World Bank, United Nations Agencies, etc.)</w:t>
      </w:r>
    </w:p>
    <w:p w14:paraId="3AB7AAEB" w14:textId="77777777" w:rsidR="007721F9" w:rsidRPr="006632A3" w:rsidRDefault="007721F9" w:rsidP="007721F9">
      <w:pPr>
        <w:pBdr>
          <w:top w:val="nil"/>
          <w:left w:val="nil"/>
          <w:bottom w:val="nil"/>
          <w:right w:val="nil"/>
          <w:between w:val="nil"/>
        </w:pBdr>
        <w:rPr>
          <w:color w:val="000000"/>
          <w:sz w:val="24"/>
          <w:szCs w:val="24"/>
        </w:rPr>
      </w:pPr>
      <w:r w:rsidRPr="006632A3">
        <w:rPr>
          <w:color w:val="000000"/>
          <w:sz w:val="24"/>
          <w:szCs w:val="24"/>
          <w:u w:val="single"/>
        </w:rPr>
        <w:t>Tertiary audience</w:t>
      </w:r>
      <w:r w:rsidRPr="006632A3">
        <w:rPr>
          <w:color w:val="000000"/>
          <w:sz w:val="24"/>
          <w:szCs w:val="24"/>
        </w:rPr>
        <w:t>:</w:t>
      </w:r>
    </w:p>
    <w:p w14:paraId="3324C786" w14:textId="5DA82B15" w:rsidR="007721F9" w:rsidRPr="006632A3" w:rsidRDefault="007721F9" w:rsidP="007721F9">
      <w:pPr>
        <w:pBdr>
          <w:top w:val="nil"/>
          <w:left w:val="nil"/>
          <w:bottom w:val="nil"/>
          <w:right w:val="nil"/>
          <w:between w:val="nil"/>
        </w:pBdr>
        <w:spacing w:after="120"/>
        <w:rPr>
          <w:color w:val="000000"/>
          <w:sz w:val="24"/>
          <w:szCs w:val="24"/>
        </w:rPr>
      </w:pPr>
      <w:r w:rsidRPr="006632A3">
        <w:rPr>
          <w:color w:val="000000"/>
          <w:sz w:val="24"/>
          <w:szCs w:val="24"/>
        </w:rPr>
        <w:t>Other audiences who may receive messages and information about</w:t>
      </w:r>
      <w:r w:rsidR="005E23E4">
        <w:rPr>
          <w:color w:val="000000"/>
          <w:sz w:val="24"/>
          <w:szCs w:val="24"/>
        </w:rPr>
        <w:t xml:space="preserve"> </w:t>
      </w:r>
      <w:r w:rsidR="005E23E4" w:rsidRPr="003E59C2">
        <w:rPr>
          <w:color w:val="000000"/>
          <w:sz w:val="24"/>
          <w:szCs w:val="24"/>
        </w:rPr>
        <w:t>Feed the Future</w:t>
      </w:r>
      <w:r w:rsidRPr="006632A3">
        <w:rPr>
          <w:color w:val="000000"/>
          <w:sz w:val="24"/>
          <w:szCs w:val="24"/>
        </w:rPr>
        <w:t xml:space="preserve"> and the American people’s support through this activity include members of the U.S. government, including the U.S. Congress, USAID field missions, other development agencies, the donor community, and members of the American public interested and/or working on related issues.</w:t>
      </w:r>
    </w:p>
    <w:p w14:paraId="25072477" w14:textId="77777777" w:rsidR="007721F9" w:rsidRPr="006632A3" w:rsidRDefault="007721F9" w:rsidP="007721F9">
      <w:pPr>
        <w:keepNext/>
        <w:pBdr>
          <w:top w:val="nil"/>
          <w:left w:val="nil"/>
          <w:bottom w:val="nil"/>
          <w:right w:val="nil"/>
          <w:between w:val="nil"/>
        </w:pBdr>
        <w:spacing w:after="20"/>
        <w:ind w:left="720" w:hanging="720"/>
        <w:rPr>
          <w:b/>
          <w:i/>
          <w:color w:val="2F7D93"/>
          <w:sz w:val="24"/>
          <w:szCs w:val="24"/>
        </w:rPr>
      </w:pPr>
    </w:p>
    <w:p w14:paraId="1E0EB955" w14:textId="77777777" w:rsidR="007721F9" w:rsidRPr="006632A3" w:rsidRDefault="007721F9" w:rsidP="007721F9">
      <w:pPr>
        <w:keepNext/>
        <w:pBdr>
          <w:top w:val="nil"/>
          <w:left w:val="nil"/>
          <w:bottom w:val="nil"/>
          <w:right w:val="nil"/>
          <w:between w:val="nil"/>
        </w:pBdr>
        <w:spacing w:after="20"/>
        <w:ind w:left="720" w:hanging="720"/>
        <w:rPr>
          <w:b/>
          <w:i/>
          <w:color w:val="2F7D93"/>
          <w:sz w:val="24"/>
          <w:szCs w:val="24"/>
        </w:rPr>
      </w:pPr>
      <w:r w:rsidRPr="006632A3">
        <w:rPr>
          <w:b/>
          <w:i/>
          <w:color w:val="2F7D93"/>
          <w:sz w:val="24"/>
          <w:szCs w:val="24"/>
        </w:rPr>
        <w:t>1.3 Messages and Communication Tools</w:t>
      </w:r>
    </w:p>
    <w:p w14:paraId="35E8AC06" w14:textId="77777777" w:rsidR="007721F9" w:rsidRPr="006632A3" w:rsidRDefault="007721F9" w:rsidP="007721F9">
      <w:pPr>
        <w:rPr>
          <w:sz w:val="24"/>
          <w:szCs w:val="24"/>
        </w:rPr>
      </w:pPr>
      <w:r w:rsidRPr="006632A3">
        <w:rPr>
          <w:b/>
          <w:sz w:val="24"/>
          <w:szCs w:val="24"/>
        </w:rPr>
        <w:t>Main message:</w:t>
      </w:r>
      <w:r w:rsidRPr="006632A3">
        <w:rPr>
          <w:sz w:val="24"/>
          <w:szCs w:val="24"/>
        </w:rPr>
        <w:t xml:space="preserve"> Messaging will be in line with the approved activity communications plan.  Through finalization of the Communications Plan, the Contractor will work with the USAID Contracting Officer’s Representative (COR) and the Mission outreach and communications team to craft a clear, concise statement to communicate publicly the purpose and impact of the activity. </w:t>
      </w:r>
    </w:p>
    <w:p w14:paraId="3A1C3A39" w14:textId="1B8AEE01" w:rsidR="007721F9" w:rsidRPr="006632A3" w:rsidRDefault="007721F9" w:rsidP="00570D25">
      <w:pPr>
        <w:rPr>
          <w:sz w:val="24"/>
          <w:szCs w:val="24"/>
        </w:rPr>
      </w:pPr>
      <w:r w:rsidRPr="003E59C2">
        <w:rPr>
          <w:sz w:val="24"/>
          <w:szCs w:val="24"/>
        </w:rPr>
        <w:t xml:space="preserve">The Contractor will also integrate </w:t>
      </w:r>
      <w:r w:rsidR="00A45456" w:rsidRPr="003E59C2">
        <w:rPr>
          <w:sz w:val="24"/>
          <w:szCs w:val="24"/>
        </w:rPr>
        <w:t>Feed the Future</w:t>
      </w:r>
      <w:r w:rsidRPr="003E59C2">
        <w:rPr>
          <w:sz w:val="24"/>
          <w:szCs w:val="24"/>
        </w:rPr>
        <w:t xml:space="preserve">’s message that the support is </w:t>
      </w:r>
      <w:r w:rsidR="00570D25" w:rsidRPr="003E59C2">
        <w:rPr>
          <w:sz w:val="24"/>
          <w:szCs w:val="24"/>
        </w:rPr>
        <w:t xml:space="preserve">“made possible by USAID: From the American people, as part of Feed the Future, the U.S. Government’s global hunger and food security initiative.” </w:t>
      </w:r>
      <w:r w:rsidRPr="003E59C2">
        <w:rPr>
          <w:sz w:val="24"/>
          <w:szCs w:val="24"/>
        </w:rPr>
        <w:t>following the guidance in the USAID Graphic Standards Manual and Partner Co-branding Guide.</w:t>
      </w:r>
    </w:p>
    <w:p w14:paraId="67F26097" w14:textId="26ABB526" w:rsidR="007721F9" w:rsidRPr="006632A3" w:rsidRDefault="007721F9" w:rsidP="007721F9">
      <w:pPr>
        <w:rPr>
          <w:sz w:val="24"/>
          <w:szCs w:val="24"/>
        </w:rPr>
      </w:pPr>
      <w:r w:rsidRPr="006632A3">
        <w:rPr>
          <w:b/>
          <w:sz w:val="24"/>
          <w:szCs w:val="24"/>
        </w:rPr>
        <w:t xml:space="preserve">Communication tools: </w:t>
      </w:r>
      <w:r w:rsidRPr="006632A3">
        <w:rPr>
          <w:sz w:val="24"/>
          <w:szCs w:val="24"/>
        </w:rPr>
        <w:t xml:space="preserve">The Contractor will use a variety of communication tools to deliver the main message and to promote the work of the activity and the support of </w:t>
      </w:r>
      <w:r w:rsidR="007C2CBE" w:rsidRPr="003E59C2">
        <w:rPr>
          <w:sz w:val="24"/>
          <w:szCs w:val="24"/>
        </w:rPr>
        <w:t>Feed the Fut</w:t>
      </w:r>
      <w:r w:rsidR="00CF6740" w:rsidRPr="003E59C2">
        <w:rPr>
          <w:sz w:val="24"/>
          <w:szCs w:val="24"/>
        </w:rPr>
        <w:t>ure</w:t>
      </w:r>
      <w:r w:rsidRPr="006632A3">
        <w:rPr>
          <w:sz w:val="24"/>
          <w:szCs w:val="24"/>
        </w:rPr>
        <w:t xml:space="preserve"> </w:t>
      </w:r>
      <w:r w:rsidRPr="006632A3">
        <w:rPr>
          <w:sz w:val="24"/>
          <w:szCs w:val="24"/>
        </w:rPr>
        <w:lastRenderedPageBreak/>
        <w:t xml:space="preserve">and the American people. As noted in the Marking Plan, the </w:t>
      </w:r>
      <w:r w:rsidR="00966656" w:rsidRPr="003E59C2">
        <w:rPr>
          <w:sz w:val="24"/>
          <w:szCs w:val="24"/>
        </w:rPr>
        <w:t xml:space="preserve">Feed the Future </w:t>
      </w:r>
      <w:r w:rsidR="00D25AE7" w:rsidRPr="003E59C2">
        <w:rPr>
          <w:sz w:val="24"/>
          <w:szCs w:val="24"/>
        </w:rPr>
        <w:t>and</w:t>
      </w:r>
      <w:r w:rsidR="00966656" w:rsidRPr="003E59C2">
        <w:rPr>
          <w:sz w:val="24"/>
          <w:szCs w:val="24"/>
        </w:rPr>
        <w:t xml:space="preserve"> </w:t>
      </w:r>
      <w:r w:rsidRPr="003E59C2">
        <w:rPr>
          <w:sz w:val="24"/>
          <w:szCs w:val="24"/>
        </w:rPr>
        <w:t>USAID</w:t>
      </w:r>
      <w:r w:rsidRPr="006632A3">
        <w:rPr>
          <w:sz w:val="24"/>
          <w:szCs w:val="24"/>
        </w:rPr>
        <w:t xml:space="preserve"> graphic identit</w:t>
      </w:r>
      <w:r w:rsidR="00966656">
        <w:rPr>
          <w:sz w:val="24"/>
          <w:szCs w:val="24"/>
        </w:rPr>
        <w:t>ies</w:t>
      </w:r>
      <w:r w:rsidRPr="006632A3">
        <w:rPr>
          <w:sz w:val="24"/>
          <w:szCs w:val="24"/>
        </w:rPr>
        <w:t xml:space="preserve"> will appear prominently on printed, electronic, video, and audio materials (</w:t>
      </w:r>
      <w:r w:rsidRPr="003E59C2">
        <w:rPr>
          <w:sz w:val="24"/>
          <w:szCs w:val="24"/>
        </w:rPr>
        <w:t>along with any required disclaimers and 508 compliance),</w:t>
      </w:r>
      <w:r w:rsidRPr="003232F2">
        <w:rPr>
          <w:sz w:val="24"/>
          <w:szCs w:val="24"/>
        </w:rPr>
        <w:t xml:space="preserve"> when appropriate and in accordance with </w:t>
      </w:r>
      <w:r w:rsidR="00831F6A" w:rsidRPr="003E59C2">
        <w:rPr>
          <w:sz w:val="24"/>
          <w:szCs w:val="24"/>
        </w:rPr>
        <w:t>USAID</w:t>
      </w:r>
      <w:r w:rsidR="00C71CFC" w:rsidRPr="003E59C2">
        <w:rPr>
          <w:sz w:val="24"/>
          <w:szCs w:val="24"/>
        </w:rPr>
        <w:t xml:space="preserve"> </w:t>
      </w:r>
      <w:r w:rsidRPr="003E59C2">
        <w:rPr>
          <w:sz w:val="24"/>
          <w:szCs w:val="24"/>
        </w:rPr>
        <w:t>branding guidelines in ADS 320</w:t>
      </w:r>
      <w:r w:rsidRPr="003232F2">
        <w:rPr>
          <w:sz w:val="24"/>
          <w:szCs w:val="24"/>
        </w:rPr>
        <w:t>.</w:t>
      </w:r>
    </w:p>
    <w:p w14:paraId="5870706C" w14:textId="77777777" w:rsidR="007721F9" w:rsidRPr="006632A3" w:rsidRDefault="007721F9" w:rsidP="007721F9">
      <w:pPr>
        <w:rPr>
          <w:sz w:val="24"/>
          <w:szCs w:val="24"/>
        </w:rPr>
      </w:pPr>
      <w:r w:rsidRPr="006632A3">
        <w:rPr>
          <w:sz w:val="24"/>
          <w:szCs w:val="24"/>
        </w:rPr>
        <w:t>The following is an illustrative, non-comprehensive list of communication tools the Contractor will use to generate awareness about the activity’s work and the support of the American people among the audiences mentioned above:</w:t>
      </w:r>
    </w:p>
    <w:p w14:paraId="6C95CAD4" w14:textId="77777777" w:rsidR="007721F9" w:rsidRPr="006632A3" w:rsidRDefault="007721F9" w:rsidP="007721F9">
      <w:pPr>
        <w:pBdr>
          <w:top w:val="nil"/>
          <w:left w:val="nil"/>
          <w:bottom w:val="nil"/>
          <w:right w:val="nil"/>
          <w:between w:val="nil"/>
        </w:pBdr>
        <w:spacing w:after="120"/>
        <w:rPr>
          <w:color w:val="000000"/>
          <w:sz w:val="24"/>
          <w:szCs w:val="24"/>
        </w:rPr>
      </w:pPr>
      <w:r w:rsidRPr="006632A3">
        <w:rPr>
          <w:color w:val="000000"/>
          <w:sz w:val="24"/>
          <w:szCs w:val="24"/>
          <w:u w:val="single"/>
        </w:rPr>
        <w:t>Communication Tools (In coordination with USAID)</w:t>
      </w:r>
    </w:p>
    <w:p w14:paraId="499320EC"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Reports, briefs, and other print materials</w:t>
      </w:r>
    </w:p>
    <w:p w14:paraId="2C62EBF5"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Success stories</w:t>
      </w:r>
    </w:p>
    <w:p w14:paraId="6A02D0E5"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Beneficiary testimonials</w:t>
      </w:r>
    </w:p>
    <w:p w14:paraId="0914D88E"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Photography</w:t>
      </w:r>
    </w:p>
    <w:p w14:paraId="7FC4809F"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Public service announcements</w:t>
      </w:r>
    </w:p>
    <w:p w14:paraId="30874714"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Videos</w:t>
      </w:r>
    </w:p>
    <w:p w14:paraId="50BE92B8"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Press releases</w:t>
      </w:r>
    </w:p>
    <w:p w14:paraId="3A0F8F7C"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Press conferences</w:t>
      </w:r>
    </w:p>
    <w:p w14:paraId="02005E71"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Media interviews</w:t>
      </w:r>
    </w:p>
    <w:p w14:paraId="6333D915"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 xml:space="preserve">Webcasts, e-invitations, blast e-mails, or other internet activities </w:t>
      </w:r>
    </w:p>
    <w:p w14:paraId="571BF823"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Social media and other digital outreach designed and developed with grantees or other activity partners</w:t>
      </w:r>
    </w:p>
    <w:p w14:paraId="670B2AB5" w14:textId="77777777" w:rsidR="007721F9" w:rsidRPr="006632A3" w:rsidRDefault="007721F9" w:rsidP="007721F9">
      <w:pPr>
        <w:numPr>
          <w:ilvl w:val="0"/>
          <w:numId w:val="1"/>
        </w:numPr>
        <w:pBdr>
          <w:top w:val="nil"/>
          <w:left w:val="nil"/>
          <w:bottom w:val="nil"/>
          <w:right w:val="nil"/>
          <w:between w:val="nil"/>
        </w:pBdr>
        <w:spacing w:after="120"/>
      </w:pPr>
      <w:r w:rsidRPr="006632A3">
        <w:rPr>
          <w:color w:val="000000"/>
          <w:sz w:val="24"/>
          <w:szCs w:val="24"/>
        </w:rPr>
        <w:t>Materials, presentations, and talking points for workshops, training, and stakeholder convening events</w:t>
      </w:r>
    </w:p>
    <w:p w14:paraId="32725359" w14:textId="77777777" w:rsidR="007721F9" w:rsidRPr="006632A3" w:rsidRDefault="007721F9" w:rsidP="007721F9">
      <w:pPr>
        <w:pBdr>
          <w:top w:val="nil"/>
          <w:left w:val="nil"/>
          <w:bottom w:val="nil"/>
          <w:right w:val="nil"/>
          <w:between w:val="nil"/>
        </w:pBdr>
        <w:rPr>
          <w:color w:val="000000"/>
          <w:sz w:val="24"/>
          <w:szCs w:val="24"/>
        </w:rPr>
      </w:pPr>
      <w:r w:rsidRPr="006632A3">
        <w:rPr>
          <w:color w:val="000000"/>
          <w:sz w:val="24"/>
          <w:szCs w:val="24"/>
        </w:rPr>
        <w:t>The Contractor will coordinate news releases/media alerts with the COR for issuance by the U.S. Embassy on behalf of USAID.</w:t>
      </w:r>
    </w:p>
    <w:p w14:paraId="66F43EE4" w14:textId="77777777" w:rsidR="007721F9" w:rsidRPr="006632A3" w:rsidRDefault="007721F9" w:rsidP="007721F9">
      <w:pPr>
        <w:keepNext/>
        <w:pBdr>
          <w:top w:val="nil"/>
          <w:left w:val="nil"/>
          <w:bottom w:val="nil"/>
          <w:right w:val="nil"/>
          <w:between w:val="nil"/>
        </w:pBdr>
        <w:spacing w:after="20"/>
        <w:ind w:left="720" w:hanging="720"/>
        <w:rPr>
          <w:b/>
          <w:i/>
          <w:color w:val="2F7D93"/>
          <w:sz w:val="24"/>
          <w:szCs w:val="24"/>
        </w:rPr>
      </w:pPr>
      <w:r w:rsidRPr="006632A3">
        <w:rPr>
          <w:b/>
          <w:i/>
          <w:color w:val="2F7D93"/>
          <w:sz w:val="24"/>
          <w:szCs w:val="24"/>
        </w:rPr>
        <w:t>1.4 Milestones and Opportunities</w:t>
      </w:r>
    </w:p>
    <w:p w14:paraId="431DAE8F" w14:textId="0DF4AB43" w:rsidR="007721F9" w:rsidRPr="006632A3" w:rsidRDefault="007721F9" w:rsidP="00014B06">
      <w:pPr>
        <w:pBdr>
          <w:top w:val="nil"/>
          <w:left w:val="nil"/>
          <w:bottom w:val="nil"/>
          <w:right w:val="nil"/>
          <w:between w:val="nil"/>
        </w:pBdr>
        <w:rPr>
          <w:color w:val="000000"/>
          <w:sz w:val="24"/>
          <w:szCs w:val="24"/>
        </w:rPr>
      </w:pPr>
      <w:r w:rsidRPr="006632A3">
        <w:rPr>
          <w:color w:val="000000"/>
          <w:sz w:val="24"/>
          <w:szCs w:val="24"/>
        </w:rPr>
        <w:t>While all activities and events will highlight assistance from</w:t>
      </w:r>
      <w:r w:rsidR="00DE5621">
        <w:rPr>
          <w:color w:val="000000"/>
          <w:sz w:val="24"/>
          <w:szCs w:val="24"/>
        </w:rPr>
        <w:t xml:space="preserve"> Feed the Future</w:t>
      </w:r>
      <w:r w:rsidRPr="006632A3">
        <w:rPr>
          <w:color w:val="000000"/>
          <w:sz w:val="24"/>
          <w:szCs w:val="24"/>
        </w:rPr>
        <w:t xml:space="preserve"> and the American people, the following illustrative milestones are anticipated to generate awareness that the activity is </w:t>
      </w:r>
      <w:r w:rsidR="00014B06" w:rsidRPr="003E59C2">
        <w:rPr>
          <w:color w:val="000000"/>
          <w:sz w:val="24"/>
          <w:szCs w:val="24"/>
        </w:rPr>
        <w:t xml:space="preserve">“made possible by USAID: From the American people, as part of Feed the Future, the U.S. Government’s global hunger and food security </w:t>
      </w:r>
      <w:r w:rsidR="00F94689" w:rsidRPr="003E59C2">
        <w:rPr>
          <w:color w:val="000000"/>
          <w:sz w:val="24"/>
          <w:szCs w:val="24"/>
        </w:rPr>
        <w:t>initiative.”</w:t>
      </w:r>
      <w:r w:rsidR="00F94689" w:rsidRPr="006632A3">
        <w:rPr>
          <w:color w:val="000000"/>
          <w:sz w:val="24"/>
          <w:szCs w:val="24"/>
        </w:rPr>
        <w:t xml:space="preserve"> Some</w:t>
      </w:r>
      <w:r w:rsidRPr="006632A3">
        <w:rPr>
          <w:color w:val="000000"/>
          <w:sz w:val="24"/>
          <w:szCs w:val="24"/>
        </w:rPr>
        <w:t xml:space="preserve"> milestones are linked to specific points in time, such as the activity launch, and others are tied to ongoing opportunities to showcase the support of the American people via events and other dissemination activities. </w:t>
      </w:r>
    </w:p>
    <w:p w14:paraId="64BE75D8"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Launch events</w:t>
      </w:r>
    </w:p>
    <w:p w14:paraId="79BBCDC3"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Site visits</w:t>
      </w:r>
    </w:p>
    <w:p w14:paraId="34D19A11"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Major multisectoral coordination events/meetings</w:t>
      </w:r>
    </w:p>
    <w:p w14:paraId="68104B20"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Workshops and training announcements and sessions</w:t>
      </w:r>
    </w:p>
    <w:p w14:paraId="541EF95E"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Reports or studies</w:t>
      </w:r>
    </w:p>
    <w:p w14:paraId="435176D2"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 xml:space="preserve">Video testimonials </w:t>
      </w:r>
    </w:p>
    <w:sdt>
      <w:sdtPr>
        <w:tag w:val="goog_rdk_20"/>
        <w:id w:val="-611822405"/>
      </w:sdtPr>
      <w:sdtEndPr/>
      <w:sdtContent>
        <w:p w14:paraId="274830CE" w14:textId="71C2430D"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Outreach campaigns</w:t>
          </w:r>
          <w:sdt>
            <w:sdtPr>
              <w:tag w:val="goog_rdk_18"/>
              <w:id w:val="-2102795320"/>
            </w:sdtPr>
            <w:sdtEndPr/>
            <w:sdtContent>
              <w:sdt>
                <w:sdtPr>
                  <w:tag w:val="goog_rdk_19"/>
                  <w:id w:val="-102191743"/>
                  <w:showingPlcHdr/>
                </w:sdtPr>
                <w:sdtEndPr/>
                <w:sdtContent>
                  <w:r w:rsidR="00315865">
                    <w:t xml:space="preserve">     </w:t>
                  </w:r>
                </w:sdtContent>
              </w:sdt>
            </w:sdtContent>
          </w:sdt>
        </w:p>
      </w:sdtContent>
    </w:sdt>
    <w:sdt>
      <w:sdtPr>
        <w:tag w:val="goog_rdk_23"/>
        <w:id w:val="-1417857350"/>
      </w:sdtPr>
      <w:sdtEndPr/>
      <w:sdtContent>
        <w:p w14:paraId="17851280" w14:textId="77777777" w:rsidR="007721F9" w:rsidRPr="006632A3" w:rsidRDefault="009650D2" w:rsidP="007721F9">
          <w:pPr>
            <w:numPr>
              <w:ilvl w:val="0"/>
              <w:numId w:val="1"/>
            </w:numPr>
            <w:pBdr>
              <w:top w:val="nil"/>
              <w:left w:val="nil"/>
              <w:bottom w:val="nil"/>
              <w:right w:val="nil"/>
              <w:between w:val="nil"/>
            </w:pBdr>
            <w:spacing w:after="60"/>
            <w:rPr>
              <w:sz w:val="24"/>
              <w:szCs w:val="24"/>
            </w:rPr>
          </w:pPr>
          <w:sdt>
            <w:sdtPr>
              <w:tag w:val="goog_rdk_21"/>
              <w:id w:val="-368380313"/>
            </w:sdtPr>
            <w:sdtEndPr/>
            <w:sdtContent>
              <w:r w:rsidR="007721F9" w:rsidRPr="006632A3">
                <w:rPr>
                  <w:color w:val="000000"/>
                  <w:sz w:val="24"/>
                  <w:szCs w:val="24"/>
                </w:rPr>
                <w:t>Social media posts linked to international days and project successes</w:t>
              </w:r>
            </w:sdtContent>
          </w:sdt>
          <w:sdt>
            <w:sdtPr>
              <w:tag w:val="goog_rdk_22"/>
              <w:id w:val="-2075731989"/>
            </w:sdtPr>
            <w:sdtEndPr/>
            <w:sdtContent/>
          </w:sdt>
        </w:p>
      </w:sdtContent>
    </w:sdt>
    <w:p w14:paraId="67236CCC" w14:textId="77777777" w:rsidR="007721F9" w:rsidRPr="006632A3" w:rsidRDefault="007721F9" w:rsidP="007721F9">
      <w:pPr>
        <w:numPr>
          <w:ilvl w:val="0"/>
          <w:numId w:val="1"/>
        </w:numPr>
        <w:pBdr>
          <w:top w:val="nil"/>
          <w:left w:val="nil"/>
          <w:bottom w:val="nil"/>
          <w:right w:val="nil"/>
          <w:between w:val="nil"/>
        </w:pBdr>
        <w:spacing w:after="60"/>
      </w:pPr>
      <w:r w:rsidRPr="006632A3">
        <w:rPr>
          <w:color w:val="000000"/>
          <w:sz w:val="24"/>
          <w:szCs w:val="24"/>
        </w:rPr>
        <w:t>Presentations of activity products or results</w:t>
      </w:r>
    </w:p>
    <w:p w14:paraId="5511C612" w14:textId="77777777" w:rsidR="007721F9" w:rsidRPr="006632A3" w:rsidRDefault="007721F9" w:rsidP="007721F9">
      <w:pPr>
        <w:numPr>
          <w:ilvl w:val="0"/>
          <w:numId w:val="1"/>
        </w:numPr>
        <w:pBdr>
          <w:top w:val="nil"/>
          <w:left w:val="nil"/>
          <w:bottom w:val="nil"/>
          <w:right w:val="nil"/>
          <w:between w:val="nil"/>
        </w:pBdr>
        <w:spacing w:after="120"/>
      </w:pPr>
      <w:r w:rsidRPr="006632A3">
        <w:rPr>
          <w:color w:val="000000"/>
          <w:sz w:val="24"/>
          <w:szCs w:val="24"/>
        </w:rPr>
        <w:t>Closeout events</w:t>
      </w:r>
    </w:p>
    <w:p w14:paraId="25E872F6" w14:textId="77777777" w:rsidR="007721F9" w:rsidRPr="006632A3" w:rsidRDefault="007721F9" w:rsidP="007721F9">
      <w:pPr>
        <w:keepNext/>
        <w:pBdr>
          <w:top w:val="nil"/>
          <w:left w:val="nil"/>
          <w:bottom w:val="nil"/>
          <w:right w:val="nil"/>
          <w:between w:val="nil"/>
        </w:pBdr>
        <w:spacing w:after="20"/>
        <w:ind w:left="720" w:hanging="720"/>
        <w:rPr>
          <w:b/>
          <w:i/>
          <w:color w:val="2F7D93"/>
          <w:sz w:val="24"/>
          <w:szCs w:val="24"/>
        </w:rPr>
      </w:pPr>
      <w:r w:rsidRPr="006632A3">
        <w:rPr>
          <w:b/>
          <w:i/>
          <w:color w:val="2F7D93"/>
          <w:sz w:val="24"/>
          <w:szCs w:val="24"/>
        </w:rPr>
        <w:t xml:space="preserve">1.5 Acknowledgments </w:t>
      </w:r>
    </w:p>
    <w:p w14:paraId="1562A1A1" w14:textId="331D010B" w:rsidR="00F379D5" w:rsidRDefault="00F379D5" w:rsidP="007721F9">
      <w:pPr>
        <w:rPr>
          <w:b/>
          <w:sz w:val="24"/>
          <w:szCs w:val="24"/>
        </w:rPr>
      </w:pPr>
      <w:r w:rsidRPr="006632A3">
        <w:rPr>
          <w:b/>
          <w:sz w:val="24"/>
          <w:szCs w:val="24"/>
        </w:rPr>
        <w:t xml:space="preserve">Acknowledging </w:t>
      </w:r>
      <w:proofErr w:type="gramStart"/>
      <w:r>
        <w:rPr>
          <w:b/>
          <w:sz w:val="24"/>
          <w:szCs w:val="24"/>
        </w:rPr>
        <w:t>Feed</w:t>
      </w:r>
      <w:proofErr w:type="gramEnd"/>
      <w:r>
        <w:rPr>
          <w:b/>
          <w:sz w:val="24"/>
          <w:szCs w:val="24"/>
        </w:rPr>
        <w:t xml:space="preserve"> the Future</w:t>
      </w:r>
      <w:r w:rsidR="001E706B">
        <w:rPr>
          <w:b/>
          <w:sz w:val="24"/>
          <w:szCs w:val="24"/>
        </w:rPr>
        <w:t>:</w:t>
      </w:r>
      <w:r w:rsidR="009B1CE7">
        <w:rPr>
          <w:b/>
          <w:sz w:val="24"/>
          <w:szCs w:val="24"/>
        </w:rPr>
        <w:t xml:space="preserve"> </w:t>
      </w:r>
      <w:r w:rsidR="00036984">
        <w:rPr>
          <w:sz w:val="24"/>
          <w:szCs w:val="24"/>
        </w:rPr>
        <w:t>Feed the Future</w:t>
      </w:r>
      <w:r w:rsidR="009B1CE7" w:rsidRPr="006632A3">
        <w:rPr>
          <w:sz w:val="24"/>
          <w:szCs w:val="24"/>
        </w:rPr>
        <w:t xml:space="preserve"> will be prominently acknowledged in all public communications and events unless the COR and Contracting Officer request or authorize an exception. All materials and messages will include an </w:t>
      </w:r>
      <w:r w:rsidR="00DB20E7">
        <w:rPr>
          <w:sz w:val="24"/>
          <w:szCs w:val="24"/>
        </w:rPr>
        <w:t>acknowledgment</w:t>
      </w:r>
      <w:r w:rsidR="009B1CE7" w:rsidRPr="006632A3">
        <w:rPr>
          <w:sz w:val="24"/>
          <w:szCs w:val="24"/>
        </w:rPr>
        <w:t xml:space="preserve"> </w:t>
      </w:r>
      <w:r w:rsidR="0000197A" w:rsidRPr="006632A3">
        <w:rPr>
          <w:sz w:val="24"/>
          <w:szCs w:val="24"/>
        </w:rPr>
        <w:t xml:space="preserve">of </w:t>
      </w:r>
      <w:r w:rsidR="0000197A">
        <w:rPr>
          <w:sz w:val="24"/>
          <w:szCs w:val="24"/>
        </w:rPr>
        <w:t>Feed</w:t>
      </w:r>
      <w:r w:rsidR="00036984">
        <w:rPr>
          <w:sz w:val="24"/>
          <w:szCs w:val="24"/>
        </w:rPr>
        <w:t xml:space="preserve"> the Future</w:t>
      </w:r>
      <w:r w:rsidR="00EB14B8">
        <w:rPr>
          <w:sz w:val="24"/>
          <w:szCs w:val="24"/>
        </w:rPr>
        <w:t>’s</w:t>
      </w:r>
      <w:r w:rsidR="009B1CE7" w:rsidRPr="006632A3">
        <w:rPr>
          <w:sz w:val="24"/>
          <w:szCs w:val="24"/>
        </w:rPr>
        <w:t xml:space="preserve"> support and contribution and will be marked with the </w:t>
      </w:r>
      <w:r w:rsidR="00EB14B8">
        <w:rPr>
          <w:sz w:val="24"/>
          <w:szCs w:val="24"/>
        </w:rPr>
        <w:t>Feed the Future</w:t>
      </w:r>
      <w:r w:rsidR="009B1CE7" w:rsidRPr="006632A3">
        <w:rPr>
          <w:sz w:val="24"/>
          <w:szCs w:val="24"/>
        </w:rPr>
        <w:t xml:space="preserve"> identity. At public events (e.g., workshops, planning discussions, training), </w:t>
      </w:r>
      <w:r w:rsidR="0000197A">
        <w:rPr>
          <w:sz w:val="24"/>
          <w:szCs w:val="24"/>
        </w:rPr>
        <w:t>Feed the Future’s</w:t>
      </w:r>
      <w:r w:rsidR="009B1CE7" w:rsidRPr="006632A3">
        <w:rPr>
          <w:sz w:val="24"/>
          <w:szCs w:val="24"/>
        </w:rPr>
        <w:t xml:space="preserve"> support will be verbally acknowledged.</w:t>
      </w:r>
    </w:p>
    <w:p w14:paraId="618F19B6" w14:textId="15A8AA77" w:rsidR="007721F9" w:rsidRPr="006632A3" w:rsidRDefault="007721F9" w:rsidP="007721F9">
      <w:pPr>
        <w:rPr>
          <w:sz w:val="24"/>
          <w:szCs w:val="24"/>
        </w:rPr>
      </w:pPr>
      <w:r w:rsidRPr="006632A3">
        <w:rPr>
          <w:b/>
          <w:sz w:val="24"/>
          <w:szCs w:val="24"/>
        </w:rPr>
        <w:t xml:space="preserve">Acknowledging USAID. </w:t>
      </w:r>
      <w:bookmarkStart w:id="1" w:name="_Hlk126572443"/>
      <w:r w:rsidRPr="006632A3">
        <w:rPr>
          <w:sz w:val="24"/>
          <w:szCs w:val="24"/>
        </w:rPr>
        <w:t xml:space="preserve">USAID will be prominently acknowledged in all public communications and events unless the COR and Contracting Officer request or authorize an exception. All materials and messages will include an </w:t>
      </w:r>
      <w:r w:rsidR="0053567C">
        <w:rPr>
          <w:sz w:val="24"/>
          <w:szCs w:val="24"/>
        </w:rPr>
        <w:t>acknowledgment</w:t>
      </w:r>
      <w:r w:rsidRPr="006632A3">
        <w:rPr>
          <w:sz w:val="24"/>
          <w:szCs w:val="24"/>
        </w:rPr>
        <w:t xml:space="preserve"> of USAID’s support and contribution and will be marked with the USAID identity. At public events (e.g., workshops, planning discussions, training), USAID’s support will be verbally acknowledged. </w:t>
      </w:r>
      <w:bookmarkEnd w:id="1"/>
    </w:p>
    <w:p w14:paraId="49DA4CDC" w14:textId="34648C47" w:rsidR="007721F9" w:rsidRPr="006632A3" w:rsidRDefault="007721F9" w:rsidP="007721F9">
      <w:pPr>
        <w:pBdr>
          <w:top w:val="nil"/>
          <w:left w:val="nil"/>
          <w:bottom w:val="nil"/>
          <w:right w:val="nil"/>
          <w:between w:val="nil"/>
        </w:pBdr>
        <w:rPr>
          <w:color w:val="000000"/>
          <w:sz w:val="24"/>
          <w:szCs w:val="24"/>
        </w:rPr>
      </w:pPr>
      <w:r w:rsidRPr="006632A3">
        <w:rPr>
          <w:color w:val="000000"/>
          <w:sz w:val="24"/>
          <w:szCs w:val="24"/>
        </w:rPr>
        <w:t xml:space="preserve">The Contractor will include the following acknowledgment </w:t>
      </w:r>
      <w:r w:rsidR="00081472">
        <w:rPr>
          <w:color w:val="000000"/>
          <w:sz w:val="24"/>
          <w:szCs w:val="24"/>
        </w:rPr>
        <w:t>of</w:t>
      </w:r>
      <w:r w:rsidRPr="006632A3">
        <w:rPr>
          <w:color w:val="000000"/>
          <w:sz w:val="24"/>
          <w:szCs w:val="24"/>
        </w:rPr>
        <w:t xml:space="preserve"> internal and external publications produced by the activity:</w:t>
      </w:r>
    </w:p>
    <w:p w14:paraId="56C3636B" w14:textId="415E1EF4" w:rsidR="007721F9" w:rsidRPr="006632A3" w:rsidRDefault="007721F9" w:rsidP="007721F9">
      <w:pPr>
        <w:pBdr>
          <w:top w:val="nil"/>
          <w:left w:val="nil"/>
          <w:bottom w:val="nil"/>
          <w:right w:val="nil"/>
          <w:between w:val="nil"/>
        </w:pBdr>
        <w:ind w:left="720"/>
        <w:rPr>
          <w:i/>
          <w:color w:val="000000"/>
          <w:sz w:val="24"/>
          <w:szCs w:val="24"/>
        </w:rPr>
      </w:pPr>
      <w:r w:rsidRPr="006632A3">
        <w:rPr>
          <w:i/>
          <w:color w:val="000000"/>
          <w:sz w:val="24"/>
          <w:szCs w:val="24"/>
        </w:rPr>
        <w:t xml:space="preserve">This [type of product] is made possible by the support of the American People through the United States Agency for International Development (USAID). </w:t>
      </w:r>
      <w:sdt>
        <w:sdtPr>
          <w:tag w:val="goog_rdk_24"/>
          <w:id w:val="-518010617"/>
        </w:sdtPr>
        <w:sdtEndPr/>
        <w:sdtContent/>
      </w:sdt>
      <w:r w:rsidRPr="006632A3">
        <w:rPr>
          <w:i/>
          <w:color w:val="000000"/>
          <w:sz w:val="24"/>
          <w:szCs w:val="24"/>
        </w:rPr>
        <w:t xml:space="preserve">It was prepared by Abt Associates for </w:t>
      </w:r>
      <w:bookmarkStart w:id="2" w:name="_Hlk128147939"/>
      <w:r w:rsidR="00315865" w:rsidRPr="005B68AE">
        <w:rPr>
          <w:i/>
          <w:color w:val="000000"/>
          <w:sz w:val="24"/>
          <w:szCs w:val="24"/>
        </w:rPr>
        <w:t xml:space="preserve">the </w:t>
      </w:r>
      <w:r w:rsidR="0020430B" w:rsidRPr="005B68AE">
        <w:rPr>
          <w:i/>
          <w:color w:val="000000"/>
          <w:sz w:val="24"/>
          <w:szCs w:val="24"/>
        </w:rPr>
        <w:t xml:space="preserve">Feed the Future </w:t>
      </w:r>
      <w:r w:rsidRPr="003E59C2">
        <w:rPr>
          <w:i/>
          <w:color w:val="000000"/>
          <w:sz w:val="24"/>
          <w:szCs w:val="24"/>
        </w:rPr>
        <w:t xml:space="preserve">Resilience in Northern Ghana Systems Strengthening </w:t>
      </w:r>
      <w:bookmarkEnd w:id="2"/>
      <w:r w:rsidR="00315865" w:rsidRPr="005B68AE">
        <w:rPr>
          <w:i/>
          <w:color w:val="000000"/>
          <w:sz w:val="24"/>
          <w:szCs w:val="24"/>
        </w:rPr>
        <w:t>activity</w:t>
      </w:r>
      <w:r w:rsidR="00315865">
        <w:rPr>
          <w:i/>
          <w:color w:val="000000"/>
          <w:sz w:val="24"/>
          <w:szCs w:val="24"/>
        </w:rPr>
        <w:t xml:space="preserve"> </w:t>
      </w:r>
      <w:r w:rsidRPr="006632A3">
        <w:rPr>
          <w:i/>
          <w:color w:val="000000"/>
          <w:sz w:val="24"/>
          <w:szCs w:val="24"/>
        </w:rPr>
        <w:t xml:space="preserve">under Contract No. 72064122C00002. The contents of this [type of product] are the sole responsibility of Abt Associates and do not necessarily reflect the views of USAID or the United States Government. </w:t>
      </w:r>
    </w:p>
    <w:p w14:paraId="20C9F55C" w14:textId="21006B0E" w:rsidR="007721F9" w:rsidRPr="006632A3" w:rsidRDefault="007721F9" w:rsidP="007721F9">
      <w:pPr>
        <w:rPr>
          <w:sz w:val="24"/>
          <w:szCs w:val="24"/>
        </w:rPr>
      </w:pPr>
      <w:r w:rsidRPr="006632A3">
        <w:rPr>
          <w:b/>
          <w:sz w:val="24"/>
          <w:szCs w:val="24"/>
        </w:rPr>
        <w:t xml:space="preserve">Acknowledging GOG partners. </w:t>
      </w:r>
      <w:r w:rsidRPr="006632A3">
        <w:rPr>
          <w:sz w:val="24"/>
          <w:szCs w:val="24"/>
        </w:rPr>
        <w:t xml:space="preserve">All materials and public communications produced under the activity will follow </w:t>
      </w:r>
      <w:r w:rsidR="00717AE6" w:rsidRPr="003E59C2">
        <w:rPr>
          <w:sz w:val="24"/>
          <w:szCs w:val="24"/>
        </w:rPr>
        <w:t>Feed the Future</w:t>
      </w:r>
      <w:r w:rsidRPr="006632A3">
        <w:rPr>
          <w:sz w:val="24"/>
          <w:szCs w:val="24"/>
        </w:rPr>
        <w:t xml:space="preserve"> branding guidelines, per ADS 320.</w:t>
      </w:r>
      <w:r w:rsidRPr="006632A3">
        <w:rPr>
          <w:b/>
          <w:sz w:val="24"/>
          <w:szCs w:val="24"/>
        </w:rPr>
        <w:t xml:space="preserve"> </w:t>
      </w:r>
      <w:r w:rsidRPr="006632A3">
        <w:rPr>
          <w:sz w:val="24"/>
          <w:szCs w:val="24"/>
        </w:rPr>
        <w:t xml:space="preserve">Given the need to engage GOG counterparts, especially at subnational levels as essential partners, the Contractor anticipates there will be opportunities to acknowledge the GOG as a </w:t>
      </w:r>
      <w:sdt>
        <w:sdtPr>
          <w:tag w:val="goog_rdk_25"/>
          <w:id w:val="1339583629"/>
        </w:sdtPr>
        <w:sdtEndPr/>
        <w:sdtContent>
          <w:r w:rsidRPr="006632A3">
            <w:rPr>
              <w:sz w:val="24"/>
              <w:szCs w:val="24"/>
            </w:rPr>
            <w:t>partner through co-branding.</w:t>
          </w:r>
        </w:sdtContent>
      </w:sdt>
      <w:r w:rsidRPr="006632A3">
        <w:rPr>
          <w:sz w:val="24"/>
          <w:szCs w:val="24"/>
        </w:rPr>
        <w:t xml:space="preserve"> When products are fully funded by USAID, the Contractor will consult with the COR, understanding that CO approval is required for any exceptions to full branding requirements. </w:t>
      </w:r>
    </w:p>
    <w:p w14:paraId="7ED69D10" w14:textId="77777777" w:rsidR="007721F9" w:rsidRPr="006632A3" w:rsidRDefault="007721F9" w:rsidP="007721F9">
      <w:pPr>
        <w:pBdr>
          <w:top w:val="nil"/>
          <w:left w:val="nil"/>
          <w:bottom w:val="nil"/>
          <w:right w:val="nil"/>
          <w:between w:val="nil"/>
        </w:pBdr>
        <w:rPr>
          <w:b/>
          <w:color w:val="000000"/>
          <w:sz w:val="24"/>
          <w:szCs w:val="24"/>
        </w:rPr>
      </w:pPr>
      <w:r w:rsidRPr="006632A3">
        <w:rPr>
          <w:b/>
          <w:color w:val="000000"/>
          <w:sz w:val="24"/>
          <w:szCs w:val="24"/>
        </w:rPr>
        <w:t xml:space="preserve">Acknowledging other host-country partners. </w:t>
      </w:r>
      <w:r w:rsidRPr="006632A3">
        <w:rPr>
          <w:color w:val="000000"/>
          <w:sz w:val="24"/>
          <w:szCs w:val="24"/>
        </w:rPr>
        <w:t xml:space="preserve">Co-branding with in-country partners may also be desirable when trying to promote local ownership and capacity building. Co-branding with civil society groups or private sector partners will occur when these organizations have contributed funds to the activity </w:t>
      </w:r>
      <w:r w:rsidRPr="006632A3">
        <w:rPr>
          <w:sz w:val="24"/>
          <w:szCs w:val="24"/>
        </w:rPr>
        <w:t xml:space="preserve">or </w:t>
      </w:r>
      <w:sdt>
        <w:sdtPr>
          <w:tag w:val="goog_rdk_27"/>
          <w:id w:val="-1105189807"/>
        </w:sdtPr>
        <w:sdtEndPr/>
        <w:sdtContent/>
      </w:sdt>
      <w:r w:rsidRPr="006632A3">
        <w:rPr>
          <w:sz w:val="24"/>
          <w:szCs w:val="24"/>
        </w:rPr>
        <w:t>when co-branding is deemed beneficial to the project</w:t>
      </w:r>
      <w:r w:rsidRPr="006632A3">
        <w:rPr>
          <w:color w:val="000000"/>
          <w:sz w:val="24"/>
          <w:szCs w:val="24"/>
        </w:rPr>
        <w:t>. If other major sponsors are involved during this activity, we will advise the COR of their involvement and request permission to include them, as necessary.</w:t>
      </w:r>
    </w:p>
    <w:p w14:paraId="0A547C6E" w14:textId="77777777" w:rsidR="007721F9" w:rsidRPr="006632A3" w:rsidRDefault="007721F9" w:rsidP="007721F9">
      <w:pPr>
        <w:keepNext/>
        <w:pBdr>
          <w:top w:val="nil"/>
          <w:left w:val="nil"/>
          <w:bottom w:val="nil"/>
          <w:right w:val="nil"/>
          <w:between w:val="nil"/>
        </w:pBdr>
        <w:spacing w:after="60"/>
        <w:ind w:left="720" w:hanging="720"/>
        <w:rPr>
          <w:b/>
          <w:color w:val="595959"/>
          <w:sz w:val="28"/>
          <w:szCs w:val="28"/>
        </w:rPr>
      </w:pPr>
      <w:r w:rsidRPr="006632A3">
        <w:rPr>
          <w:b/>
          <w:color w:val="595959"/>
          <w:sz w:val="28"/>
          <w:szCs w:val="28"/>
        </w:rPr>
        <w:t>2. Marking Plan</w:t>
      </w:r>
    </w:p>
    <w:p w14:paraId="66364720" w14:textId="23438BB7" w:rsidR="007721F9" w:rsidRPr="006632A3" w:rsidRDefault="007721F9" w:rsidP="007721F9">
      <w:pPr>
        <w:rPr>
          <w:sz w:val="24"/>
          <w:szCs w:val="24"/>
        </w:rPr>
      </w:pPr>
      <w:r w:rsidRPr="006632A3">
        <w:rPr>
          <w:sz w:val="24"/>
          <w:szCs w:val="24"/>
        </w:rPr>
        <w:t xml:space="preserve">The purpose of this Marking Plan is to describe the public communications, commodities, and programmatic materials that will visibly bear or be marked with the </w:t>
      </w:r>
      <w:r w:rsidR="00EE396B" w:rsidRPr="003E59C2">
        <w:rPr>
          <w:sz w:val="24"/>
          <w:szCs w:val="24"/>
        </w:rPr>
        <w:t>Feed the Future</w:t>
      </w:r>
      <w:r w:rsidR="003C1CF7" w:rsidRPr="003E59C2">
        <w:rPr>
          <w:sz w:val="24"/>
          <w:szCs w:val="24"/>
        </w:rPr>
        <w:t xml:space="preserve"> </w:t>
      </w:r>
      <w:r w:rsidR="00A17645" w:rsidRPr="003E59C2">
        <w:rPr>
          <w:sz w:val="24"/>
          <w:szCs w:val="24"/>
        </w:rPr>
        <w:t>and</w:t>
      </w:r>
      <w:r w:rsidR="003C1CF7" w:rsidRPr="003E59C2">
        <w:rPr>
          <w:sz w:val="24"/>
          <w:szCs w:val="24"/>
        </w:rPr>
        <w:t xml:space="preserve"> </w:t>
      </w:r>
      <w:r w:rsidRPr="003E59C2">
        <w:rPr>
          <w:sz w:val="24"/>
          <w:szCs w:val="24"/>
        </w:rPr>
        <w:lastRenderedPageBreak/>
        <w:t>USAID</w:t>
      </w:r>
      <w:r w:rsidRPr="006632A3">
        <w:rPr>
          <w:sz w:val="24"/>
          <w:szCs w:val="24"/>
        </w:rPr>
        <w:t xml:space="preserve"> identit</w:t>
      </w:r>
      <w:r w:rsidR="003C1CF7">
        <w:rPr>
          <w:sz w:val="24"/>
          <w:szCs w:val="24"/>
        </w:rPr>
        <w:t>ies</w:t>
      </w:r>
      <w:r w:rsidRPr="006632A3">
        <w:rPr>
          <w:sz w:val="24"/>
          <w:szCs w:val="24"/>
        </w:rPr>
        <w:t xml:space="preserve">. All items marked with the </w:t>
      </w:r>
      <w:r w:rsidR="004F1401">
        <w:rPr>
          <w:sz w:val="24"/>
          <w:szCs w:val="24"/>
        </w:rPr>
        <w:t>Feed the Future</w:t>
      </w:r>
      <w:r w:rsidR="007F7976">
        <w:rPr>
          <w:sz w:val="24"/>
          <w:szCs w:val="24"/>
        </w:rPr>
        <w:t xml:space="preserve"> </w:t>
      </w:r>
      <w:r w:rsidRPr="006632A3">
        <w:rPr>
          <w:sz w:val="24"/>
          <w:szCs w:val="24"/>
        </w:rPr>
        <w:t xml:space="preserve">identity for this activity, whether presented in this marking plan or not, will follow design guidance for color, type, and layout in the </w:t>
      </w:r>
      <w:r w:rsidR="00D316D9" w:rsidRPr="003E59C2">
        <w:rPr>
          <w:sz w:val="24"/>
          <w:szCs w:val="24"/>
        </w:rPr>
        <w:t xml:space="preserve">Feed the Future </w:t>
      </w:r>
      <w:r w:rsidRPr="003E59C2">
        <w:rPr>
          <w:sz w:val="24"/>
          <w:szCs w:val="24"/>
        </w:rPr>
        <w:t>Graphic</w:t>
      </w:r>
      <w:r w:rsidR="00281B13" w:rsidRPr="003E59C2">
        <w:rPr>
          <w:sz w:val="24"/>
          <w:szCs w:val="24"/>
        </w:rPr>
        <w:t xml:space="preserve"> &amp; Naming</w:t>
      </w:r>
      <w:r w:rsidRPr="003E59C2">
        <w:rPr>
          <w:sz w:val="24"/>
          <w:szCs w:val="24"/>
        </w:rPr>
        <w:t xml:space="preserve"> Standards Manual and Partner Co-branding Guide</w:t>
      </w:r>
      <w:r w:rsidRPr="005B68AE">
        <w:rPr>
          <w:sz w:val="24"/>
          <w:szCs w:val="24"/>
        </w:rPr>
        <w:t>.</w:t>
      </w:r>
      <w:r w:rsidRPr="006632A3">
        <w:rPr>
          <w:sz w:val="24"/>
          <w:szCs w:val="24"/>
        </w:rPr>
        <w:t xml:space="preserve"> </w:t>
      </w:r>
    </w:p>
    <w:p w14:paraId="4B53752F" w14:textId="67432CC3" w:rsidR="007721F9" w:rsidRPr="006632A3" w:rsidRDefault="007721F9" w:rsidP="007721F9">
      <w:pPr>
        <w:autoSpaceDE w:val="0"/>
        <w:autoSpaceDN w:val="0"/>
        <w:adjustRightInd w:val="0"/>
        <w:spacing w:after="0"/>
        <w:rPr>
          <w:rFonts w:ascii="TimesNewRomanPSMT" w:hAnsi="TimesNewRomanPSMT" w:cs="TimesNewRomanPSMT"/>
          <w:sz w:val="24"/>
          <w:szCs w:val="24"/>
        </w:rPr>
      </w:pPr>
      <w:r w:rsidRPr="006632A3">
        <w:rPr>
          <w:color w:val="000000"/>
          <w:sz w:val="24"/>
          <w:szCs w:val="24"/>
        </w:rPr>
        <w:t xml:space="preserve">In most cases, the activity will use exclusive marking, featuring only the </w:t>
      </w:r>
      <w:r w:rsidR="00F77E82">
        <w:rPr>
          <w:color w:val="000000"/>
          <w:sz w:val="24"/>
          <w:szCs w:val="24"/>
        </w:rPr>
        <w:t xml:space="preserve">Feed the Future </w:t>
      </w:r>
      <w:r w:rsidR="00A16201">
        <w:rPr>
          <w:color w:val="000000"/>
          <w:sz w:val="24"/>
          <w:szCs w:val="24"/>
        </w:rPr>
        <w:t xml:space="preserve">and </w:t>
      </w:r>
      <w:r w:rsidRPr="006632A3">
        <w:rPr>
          <w:color w:val="000000"/>
          <w:sz w:val="24"/>
          <w:szCs w:val="24"/>
        </w:rPr>
        <w:t>USAID standard graphic identit</w:t>
      </w:r>
      <w:r w:rsidR="0027783B">
        <w:rPr>
          <w:color w:val="000000"/>
          <w:sz w:val="24"/>
          <w:szCs w:val="24"/>
        </w:rPr>
        <w:t>ies</w:t>
      </w:r>
      <w:r w:rsidRPr="006632A3">
        <w:rPr>
          <w:color w:val="000000"/>
          <w:sz w:val="24"/>
          <w:szCs w:val="24"/>
        </w:rPr>
        <w:t xml:space="preserve">. In cases where co-branding may apply, the Contractor will discuss with the COR to obtain approval and share co-branded designs with the COR and Mission communications team, as requested, before finalizing materials. For co-branding, the </w:t>
      </w:r>
      <w:r w:rsidR="00D40415" w:rsidRPr="003E59C2">
        <w:rPr>
          <w:color w:val="000000"/>
          <w:sz w:val="24"/>
          <w:szCs w:val="24"/>
        </w:rPr>
        <w:t xml:space="preserve">Feed the Future </w:t>
      </w:r>
      <w:r w:rsidR="00A16201" w:rsidRPr="003E59C2">
        <w:rPr>
          <w:color w:val="000000"/>
          <w:sz w:val="24"/>
          <w:szCs w:val="24"/>
        </w:rPr>
        <w:t>and</w:t>
      </w:r>
      <w:r w:rsidR="00D40415" w:rsidRPr="003E59C2">
        <w:rPr>
          <w:color w:val="000000"/>
          <w:sz w:val="24"/>
          <w:szCs w:val="24"/>
        </w:rPr>
        <w:t xml:space="preserve"> </w:t>
      </w:r>
      <w:r w:rsidRPr="003E59C2">
        <w:rPr>
          <w:color w:val="000000"/>
          <w:sz w:val="24"/>
          <w:szCs w:val="24"/>
        </w:rPr>
        <w:t>USAID</w:t>
      </w:r>
      <w:r w:rsidRPr="006632A3">
        <w:rPr>
          <w:color w:val="000000"/>
          <w:sz w:val="24"/>
          <w:szCs w:val="24"/>
        </w:rPr>
        <w:t xml:space="preserve"> logo</w:t>
      </w:r>
      <w:r w:rsidR="00D40415">
        <w:rPr>
          <w:color w:val="000000"/>
          <w:sz w:val="24"/>
          <w:szCs w:val="24"/>
        </w:rPr>
        <w:t>s</w:t>
      </w:r>
      <w:r w:rsidRPr="006632A3">
        <w:rPr>
          <w:color w:val="000000"/>
          <w:sz w:val="24"/>
          <w:szCs w:val="24"/>
        </w:rPr>
        <w:t xml:space="preserve"> will have equivalent or greater size and prominence than that of the co-sponsor. </w:t>
      </w:r>
      <w:bookmarkStart w:id="3" w:name="_Hlk112162626"/>
      <w:r w:rsidRPr="006632A3">
        <w:rPr>
          <w:rFonts w:ascii="TimesNewRomanPSMT" w:hAnsi="TimesNewRomanPSMT" w:cs="TimesNewRomanPSMT"/>
          <w:sz w:val="24"/>
          <w:szCs w:val="24"/>
        </w:rPr>
        <w:t xml:space="preserve">In cases where co-branding may apply, the following is a sample logo lineup showing illustrative scenarios for using the </w:t>
      </w:r>
      <w:r w:rsidR="00E3411F" w:rsidRPr="003E59C2">
        <w:rPr>
          <w:rFonts w:ascii="TimesNewRomanPSMT" w:hAnsi="TimesNewRomanPSMT" w:cs="TimesNewRomanPSMT"/>
          <w:sz w:val="24"/>
          <w:szCs w:val="24"/>
        </w:rPr>
        <w:t xml:space="preserve">Feed the Future </w:t>
      </w:r>
      <w:r w:rsidR="0048182E" w:rsidRPr="003E59C2">
        <w:rPr>
          <w:rFonts w:ascii="TimesNewRomanPSMT" w:hAnsi="TimesNewRomanPSMT" w:cs="TimesNewRomanPSMT"/>
          <w:sz w:val="24"/>
          <w:szCs w:val="24"/>
        </w:rPr>
        <w:t>and</w:t>
      </w:r>
      <w:r w:rsidR="00E3411F" w:rsidRPr="003E59C2">
        <w:rPr>
          <w:rFonts w:ascii="TimesNewRomanPSMT" w:hAnsi="TimesNewRomanPSMT" w:cs="TimesNewRomanPSMT"/>
          <w:sz w:val="24"/>
          <w:szCs w:val="24"/>
        </w:rPr>
        <w:t xml:space="preserve"> </w:t>
      </w:r>
      <w:r w:rsidRPr="003E59C2">
        <w:rPr>
          <w:rFonts w:ascii="TimesNewRomanPSMT" w:hAnsi="TimesNewRomanPSMT" w:cs="TimesNewRomanPSMT"/>
          <w:sz w:val="24"/>
          <w:szCs w:val="24"/>
        </w:rPr>
        <w:t>USAID</w:t>
      </w:r>
      <w:r w:rsidRPr="006632A3">
        <w:rPr>
          <w:rFonts w:ascii="TimesNewRomanPSMT" w:hAnsi="TimesNewRomanPSMT" w:cs="TimesNewRomanPSMT"/>
          <w:sz w:val="24"/>
          <w:szCs w:val="24"/>
        </w:rPr>
        <w:t xml:space="preserve"> standard graphic identit</w:t>
      </w:r>
      <w:r w:rsidR="00E3411F">
        <w:rPr>
          <w:rFonts w:ascii="TimesNewRomanPSMT" w:hAnsi="TimesNewRomanPSMT" w:cs="TimesNewRomanPSMT"/>
          <w:sz w:val="24"/>
          <w:szCs w:val="24"/>
        </w:rPr>
        <w:t>ies</w:t>
      </w:r>
      <w:r w:rsidRPr="006632A3">
        <w:rPr>
          <w:rFonts w:ascii="TimesNewRomanPSMT" w:hAnsi="TimesNewRomanPSMT" w:cs="TimesNewRomanPSMT"/>
          <w:sz w:val="24"/>
          <w:szCs w:val="24"/>
        </w:rPr>
        <w:t>:</w:t>
      </w:r>
    </w:p>
    <w:p w14:paraId="5BC36EC1" w14:textId="77777777" w:rsidR="007721F9" w:rsidRPr="006632A3" w:rsidRDefault="007721F9" w:rsidP="007721F9">
      <w:pPr>
        <w:pBdr>
          <w:top w:val="nil"/>
          <w:left w:val="nil"/>
          <w:bottom w:val="nil"/>
          <w:right w:val="nil"/>
          <w:between w:val="nil"/>
        </w:pBdr>
        <w:rPr>
          <w:rFonts w:ascii="TimesNewRomanPS-ItalicMT" w:hAnsi="TimesNewRomanPS-ItalicMT" w:cs="TimesNewRomanPS-ItalicMT"/>
          <w:i/>
          <w:iCs/>
          <w:sz w:val="24"/>
          <w:szCs w:val="24"/>
        </w:rPr>
      </w:pPr>
    </w:p>
    <w:p w14:paraId="737CC46B" w14:textId="77777777" w:rsidR="007721F9" w:rsidRPr="006632A3" w:rsidRDefault="007721F9" w:rsidP="007721F9">
      <w:pPr>
        <w:pBdr>
          <w:top w:val="nil"/>
          <w:left w:val="nil"/>
          <w:bottom w:val="nil"/>
          <w:right w:val="nil"/>
          <w:between w:val="nil"/>
        </w:pBdr>
        <w:rPr>
          <w:rFonts w:ascii="TimesNewRomanPS-ItalicMT" w:hAnsi="TimesNewRomanPS-ItalicMT" w:cs="TimesNewRomanPS-ItalicMT"/>
          <w:i/>
          <w:iCs/>
          <w:sz w:val="24"/>
          <w:szCs w:val="24"/>
        </w:rPr>
      </w:pPr>
      <w:r w:rsidRPr="006632A3">
        <w:rPr>
          <w:rFonts w:ascii="TimesNewRomanPS-ItalicMT" w:hAnsi="TimesNewRomanPS-ItalicMT" w:cs="TimesNewRomanPS-ItalicMT"/>
          <w:i/>
          <w:iCs/>
          <w:sz w:val="24"/>
          <w:szCs w:val="24"/>
        </w:rPr>
        <w:t>Example of exclusive marking (activity report):</w:t>
      </w:r>
    </w:p>
    <w:p w14:paraId="148822B4" w14:textId="77777777" w:rsidR="007721F9" w:rsidRPr="006632A3" w:rsidRDefault="007721F9" w:rsidP="007721F9">
      <w:pPr>
        <w:pBdr>
          <w:top w:val="nil"/>
          <w:left w:val="nil"/>
          <w:bottom w:val="nil"/>
          <w:right w:val="nil"/>
          <w:between w:val="nil"/>
        </w:pBdr>
        <w:jc w:val="center"/>
        <w:rPr>
          <w:rFonts w:ascii="TimesNewRomanPS-ItalicMT" w:hAnsi="TimesNewRomanPS-ItalicMT" w:cs="TimesNewRomanPS-ItalicMT"/>
          <w:i/>
          <w:iCs/>
          <w:sz w:val="24"/>
          <w:szCs w:val="24"/>
        </w:rPr>
      </w:pPr>
      <w:r w:rsidRPr="006632A3">
        <w:rPr>
          <w:noProof/>
        </w:rPr>
        <w:drawing>
          <wp:inline distT="0" distB="0" distL="0" distR="0" wp14:anchorId="6C4A9F8E" wp14:editId="2572EF3A">
            <wp:extent cx="1476398" cy="190339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6398" cy="1903396"/>
                    </a:xfrm>
                    <a:prstGeom prst="rect">
                      <a:avLst/>
                    </a:prstGeom>
                  </pic:spPr>
                </pic:pic>
              </a:graphicData>
            </a:graphic>
          </wp:inline>
        </w:drawing>
      </w:r>
    </w:p>
    <w:p w14:paraId="45A8012C" w14:textId="77777777" w:rsidR="007721F9" w:rsidRPr="006632A3" w:rsidRDefault="007721F9" w:rsidP="007721F9">
      <w:pPr>
        <w:pBdr>
          <w:top w:val="nil"/>
          <w:left w:val="nil"/>
          <w:bottom w:val="nil"/>
          <w:right w:val="nil"/>
          <w:between w:val="nil"/>
        </w:pBdr>
        <w:rPr>
          <w:rFonts w:ascii="TimesNewRomanPS-ItalicMT" w:hAnsi="TimesNewRomanPS-ItalicMT" w:cs="TimesNewRomanPS-ItalicMT"/>
          <w:i/>
          <w:iCs/>
          <w:sz w:val="24"/>
          <w:szCs w:val="24"/>
        </w:rPr>
      </w:pPr>
      <w:r w:rsidRPr="006632A3">
        <w:rPr>
          <w:rFonts w:ascii="TimesNewRomanPS-ItalicMT" w:hAnsi="TimesNewRomanPS-ItalicMT" w:cs="TimesNewRomanPS-ItalicMT"/>
          <w:i/>
          <w:iCs/>
          <w:sz w:val="24"/>
          <w:szCs w:val="24"/>
        </w:rPr>
        <w:t>Example of co-branding with a host-country government counterpart (presentation):</w:t>
      </w:r>
    </w:p>
    <w:p w14:paraId="5941CE26" w14:textId="77777777" w:rsidR="007721F9" w:rsidRPr="006632A3" w:rsidRDefault="007721F9" w:rsidP="007721F9">
      <w:pPr>
        <w:pBdr>
          <w:top w:val="nil"/>
          <w:left w:val="nil"/>
          <w:bottom w:val="nil"/>
          <w:right w:val="nil"/>
          <w:between w:val="nil"/>
        </w:pBdr>
        <w:jc w:val="center"/>
        <w:rPr>
          <w:rFonts w:ascii="TimesNewRomanPS-ItalicMT" w:hAnsi="TimesNewRomanPS-ItalicMT" w:cs="TimesNewRomanPS-ItalicMT"/>
          <w:i/>
          <w:iCs/>
          <w:sz w:val="24"/>
          <w:szCs w:val="24"/>
        </w:rPr>
      </w:pPr>
      <w:r w:rsidRPr="006632A3">
        <w:rPr>
          <w:noProof/>
        </w:rPr>
        <w:drawing>
          <wp:inline distT="0" distB="0" distL="0" distR="0" wp14:anchorId="475FEFF7" wp14:editId="1F115536">
            <wp:extent cx="2191936" cy="12254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1936" cy="1225413"/>
                    </a:xfrm>
                    <a:prstGeom prst="rect">
                      <a:avLst/>
                    </a:prstGeom>
                  </pic:spPr>
                </pic:pic>
              </a:graphicData>
            </a:graphic>
          </wp:inline>
        </w:drawing>
      </w:r>
    </w:p>
    <w:bookmarkEnd w:id="3"/>
    <w:p w14:paraId="4C8E677D" w14:textId="77777777" w:rsidR="007721F9" w:rsidRPr="006632A3" w:rsidRDefault="007721F9" w:rsidP="007721F9">
      <w:pPr>
        <w:pBdr>
          <w:top w:val="nil"/>
          <w:left w:val="nil"/>
          <w:bottom w:val="nil"/>
          <w:right w:val="nil"/>
          <w:between w:val="nil"/>
        </w:pBdr>
        <w:rPr>
          <w:color w:val="000000"/>
          <w:sz w:val="24"/>
          <w:szCs w:val="24"/>
        </w:rPr>
      </w:pPr>
    </w:p>
    <w:p w14:paraId="0E24FE87" w14:textId="77777777" w:rsidR="007721F9" w:rsidRPr="006632A3" w:rsidRDefault="007721F9" w:rsidP="007721F9">
      <w:pPr>
        <w:rPr>
          <w:sz w:val="24"/>
          <w:szCs w:val="24"/>
        </w:rPr>
      </w:pPr>
      <w:r w:rsidRPr="006632A3">
        <w:rPr>
          <w:b/>
          <w:sz w:val="24"/>
          <w:szCs w:val="24"/>
        </w:rPr>
        <w:t xml:space="preserve">Pre-production review. </w:t>
      </w:r>
      <w:r w:rsidRPr="006632A3">
        <w:rPr>
          <w:sz w:val="24"/>
          <w:szCs w:val="24"/>
        </w:rPr>
        <w:t>The Contractor acknowledges USAID’s right to request a pre-production review of USAID-funded public communications and program materials for compliance with the approved Marking Plan. Per 2 CFR 700.1, USAID-funded public communication in which the content has not been approved by USAID, will contain a disclaimer substantially as follows:</w:t>
      </w:r>
    </w:p>
    <w:p w14:paraId="3C454BE6" w14:textId="259F4C19" w:rsidR="007721F9" w:rsidRPr="006632A3" w:rsidRDefault="009650D2" w:rsidP="007721F9">
      <w:pPr>
        <w:pBdr>
          <w:top w:val="nil"/>
          <w:left w:val="nil"/>
          <w:bottom w:val="nil"/>
          <w:right w:val="nil"/>
          <w:between w:val="nil"/>
        </w:pBdr>
        <w:ind w:left="720"/>
        <w:rPr>
          <w:i/>
          <w:color w:val="000000"/>
          <w:sz w:val="24"/>
          <w:szCs w:val="24"/>
        </w:rPr>
      </w:pPr>
      <w:sdt>
        <w:sdtPr>
          <w:tag w:val="goog_rdk_28"/>
          <w:id w:val="554280974"/>
        </w:sdtPr>
        <w:sdtEndPr/>
        <w:sdtContent/>
      </w:sdt>
      <w:sdt>
        <w:sdtPr>
          <w:tag w:val="goog_rdk_29"/>
          <w:id w:val="-2026620542"/>
        </w:sdtPr>
        <w:sdtEndPr/>
        <w:sdtContent/>
      </w:sdt>
      <w:sdt>
        <w:sdtPr>
          <w:tag w:val="goog_rdk_30"/>
          <w:id w:val="-2099772392"/>
        </w:sdtPr>
        <w:sdtEndPr/>
        <w:sdtContent/>
      </w:sdt>
      <w:r w:rsidR="007721F9" w:rsidRPr="006632A3">
        <w:rPr>
          <w:i/>
          <w:color w:val="000000"/>
          <w:sz w:val="24"/>
          <w:szCs w:val="24"/>
        </w:rPr>
        <w:t xml:space="preserve">This [type of product] is made possible by the support of the American People through the United States Agency for International Development (USAID). It was prepared by Abt Associates for </w:t>
      </w:r>
      <w:r w:rsidR="00555EF7" w:rsidRPr="005B68AE">
        <w:rPr>
          <w:i/>
          <w:color w:val="000000"/>
          <w:sz w:val="24"/>
          <w:szCs w:val="24"/>
        </w:rPr>
        <w:t xml:space="preserve">the </w:t>
      </w:r>
      <w:r w:rsidR="00D92185" w:rsidRPr="003E59C2">
        <w:rPr>
          <w:i/>
          <w:color w:val="000000"/>
          <w:sz w:val="24"/>
          <w:szCs w:val="24"/>
        </w:rPr>
        <w:t xml:space="preserve">Feed the Future </w:t>
      </w:r>
      <w:r w:rsidR="007721F9" w:rsidRPr="003E59C2">
        <w:rPr>
          <w:i/>
          <w:color w:val="000000"/>
          <w:sz w:val="24"/>
          <w:szCs w:val="24"/>
        </w:rPr>
        <w:t xml:space="preserve">Resilience in Northern Ghana Systems Strengthening </w:t>
      </w:r>
      <w:proofErr w:type="spellStart"/>
      <w:r w:rsidR="00555EF7" w:rsidRPr="005B68AE">
        <w:rPr>
          <w:i/>
          <w:color w:val="000000"/>
          <w:sz w:val="24"/>
          <w:szCs w:val="24"/>
        </w:rPr>
        <w:t>activity</w:t>
      </w:r>
      <w:r w:rsidR="007721F9" w:rsidRPr="006632A3">
        <w:rPr>
          <w:i/>
          <w:color w:val="000000"/>
          <w:sz w:val="24"/>
          <w:szCs w:val="24"/>
        </w:rPr>
        <w:t>under</w:t>
      </w:r>
      <w:proofErr w:type="spellEnd"/>
      <w:r w:rsidR="007721F9" w:rsidRPr="006632A3">
        <w:rPr>
          <w:i/>
          <w:color w:val="000000"/>
          <w:sz w:val="24"/>
          <w:szCs w:val="24"/>
        </w:rPr>
        <w:t xml:space="preserve"> Contract No. 72064122C00002. The contents of this [type of product] are the sole responsibility of Abt Associates and do not necessarily reflect the views of USAID or the United States Government. </w:t>
      </w:r>
    </w:p>
    <w:p w14:paraId="497D7BA3" w14:textId="77777777" w:rsidR="007721F9" w:rsidRPr="006632A3" w:rsidRDefault="007721F9" w:rsidP="007721F9">
      <w:pPr>
        <w:rPr>
          <w:sz w:val="24"/>
          <w:szCs w:val="24"/>
        </w:rPr>
      </w:pPr>
      <w:r w:rsidRPr="006632A3">
        <w:rPr>
          <w:b/>
          <w:sz w:val="24"/>
          <w:szCs w:val="24"/>
        </w:rPr>
        <w:t xml:space="preserve">“Flow-down” clause for subcontracts and grants. </w:t>
      </w:r>
      <w:r w:rsidRPr="006632A3">
        <w:rPr>
          <w:sz w:val="24"/>
          <w:szCs w:val="24"/>
        </w:rPr>
        <w:t xml:space="preserve">The Contractor will ensure that marking requirements “flow down”' to subcontracts and grants, specifying that public communications will include the USAID-approved marking provision, substantially as follows: </w:t>
      </w:r>
    </w:p>
    <w:p w14:paraId="6DFD082F" w14:textId="008BAA9D" w:rsidR="007721F9" w:rsidRPr="006632A3" w:rsidRDefault="007721F9" w:rsidP="007721F9">
      <w:pPr>
        <w:ind w:left="720"/>
        <w:rPr>
          <w:i/>
          <w:sz w:val="24"/>
          <w:szCs w:val="24"/>
        </w:rPr>
      </w:pPr>
      <w:r w:rsidRPr="006632A3">
        <w:rPr>
          <w:i/>
          <w:sz w:val="24"/>
          <w:szCs w:val="24"/>
        </w:rPr>
        <w:t>As a condition of receipt of this subcontract/grant [specify], marking with the</w:t>
      </w:r>
      <w:r w:rsidR="00617D09">
        <w:rPr>
          <w:i/>
          <w:sz w:val="24"/>
          <w:szCs w:val="24"/>
        </w:rPr>
        <w:t xml:space="preserve"> </w:t>
      </w:r>
      <w:r w:rsidR="00617D09" w:rsidRPr="003E59C2">
        <w:rPr>
          <w:i/>
          <w:sz w:val="24"/>
          <w:szCs w:val="24"/>
        </w:rPr>
        <w:t>Feed the Future</w:t>
      </w:r>
      <w:r w:rsidR="004E1C26" w:rsidRPr="003E59C2">
        <w:rPr>
          <w:i/>
          <w:sz w:val="24"/>
          <w:szCs w:val="24"/>
        </w:rPr>
        <w:t xml:space="preserve"> and</w:t>
      </w:r>
      <w:r w:rsidRPr="003E59C2">
        <w:rPr>
          <w:i/>
          <w:sz w:val="24"/>
          <w:szCs w:val="24"/>
        </w:rPr>
        <w:t xml:space="preserve"> USAID</w:t>
      </w:r>
      <w:r w:rsidRPr="006632A3">
        <w:rPr>
          <w:i/>
          <w:sz w:val="24"/>
          <w:szCs w:val="24"/>
        </w:rPr>
        <w:t xml:space="preserve"> Standard Graphic Identit</w:t>
      </w:r>
      <w:r w:rsidR="004E1C26">
        <w:rPr>
          <w:i/>
          <w:sz w:val="24"/>
          <w:szCs w:val="24"/>
        </w:rPr>
        <w:t>ies</w:t>
      </w:r>
      <w:r w:rsidRPr="006632A3">
        <w:rPr>
          <w:i/>
          <w:sz w:val="24"/>
          <w:szCs w:val="24"/>
        </w:rPr>
        <w:t xml:space="preserve"> of a size and prominence equivalent to or greater than the recipient’s, sub-recipient’s, other donor’s or third party’s is required. In the event the recipient chooses not to require marking with its own logo by the sub-recipient, USAID may, at its discretion, require marking by the subrecipient with the </w:t>
      </w:r>
      <w:r w:rsidR="00501174" w:rsidRPr="003E59C2">
        <w:rPr>
          <w:i/>
          <w:sz w:val="24"/>
          <w:szCs w:val="24"/>
        </w:rPr>
        <w:t>Feed the Future</w:t>
      </w:r>
      <w:r w:rsidR="00FA7229" w:rsidRPr="003E59C2">
        <w:rPr>
          <w:i/>
          <w:sz w:val="24"/>
          <w:szCs w:val="24"/>
        </w:rPr>
        <w:t xml:space="preserve"> </w:t>
      </w:r>
      <w:r w:rsidR="00B87BC5" w:rsidRPr="003E59C2">
        <w:rPr>
          <w:i/>
          <w:sz w:val="24"/>
          <w:szCs w:val="24"/>
        </w:rPr>
        <w:t>and</w:t>
      </w:r>
      <w:r w:rsidR="00FA7229" w:rsidRPr="003E59C2">
        <w:rPr>
          <w:i/>
          <w:sz w:val="24"/>
          <w:szCs w:val="24"/>
        </w:rPr>
        <w:t xml:space="preserve"> </w:t>
      </w:r>
      <w:r w:rsidRPr="003E59C2">
        <w:rPr>
          <w:i/>
          <w:sz w:val="24"/>
          <w:szCs w:val="24"/>
        </w:rPr>
        <w:t>USAID Logo</w:t>
      </w:r>
      <w:r w:rsidR="00FA7229" w:rsidRPr="003E59C2">
        <w:rPr>
          <w:i/>
          <w:sz w:val="24"/>
          <w:szCs w:val="24"/>
        </w:rPr>
        <w:t>s</w:t>
      </w:r>
      <w:r w:rsidRPr="005B68AE">
        <w:rPr>
          <w:i/>
          <w:sz w:val="24"/>
          <w:szCs w:val="24"/>
        </w:rPr>
        <w:t>.</w:t>
      </w:r>
    </w:p>
    <w:p w14:paraId="1F2FE977" w14:textId="77777777" w:rsidR="007721F9" w:rsidRPr="006632A3" w:rsidRDefault="007721F9" w:rsidP="007721F9">
      <w:pPr>
        <w:rPr>
          <w:b/>
          <w:sz w:val="24"/>
          <w:szCs w:val="24"/>
        </w:rPr>
      </w:pPr>
      <w:r w:rsidRPr="006632A3">
        <w:rPr>
          <w:b/>
          <w:sz w:val="24"/>
          <w:szCs w:val="24"/>
        </w:rPr>
        <w:t xml:space="preserve">Presumptive exceptions. </w:t>
      </w:r>
      <w:r w:rsidRPr="006632A3">
        <w:rPr>
          <w:sz w:val="24"/>
          <w:szCs w:val="24"/>
        </w:rPr>
        <w:t xml:space="preserve">The Contractor does not request any presumptive exceptions to marking requirements </w:t>
      </w:r>
      <w:proofErr w:type="gramStart"/>
      <w:r w:rsidRPr="006632A3">
        <w:rPr>
          <w:sz w:val="24"/>
          <w:szCs w:val="24"/>
        </w:rPr>
        <w:t>at this time</w:t>
      </w:r>
      <w:proofErr w:type="gramEnd"/>
      <w:r w:rsidRPr="006632A3">
        <w:rPr>
          <w:sz w:val="24"/>
          <w:szCs w:val="24"/>
        </w:rPr>
        <w:t xml:space="preserve">. If a situation arises </w:t>
      </w:r>
      <w:proofErr w:type="gramStart"/>
      <w:r w:rsidRPr="006632A3">
        <w:rPr>
          <w:sz w:val="24"/>
          <w:szCs w:val="24"/>
        </w:rPr>
        <w:t>during the course of</w:t>
      </w:r>
      <w:proofErr w:type="gramEnd"/>
      <w:r w:rsidRPr="006632A3">
        <w:rPr>
          <w:sz w:val="24"/>
          <w:szCs w:val="24"/>
        </w:rPr>
        <w:t xml:space="preserve"> activity implementation that could merit an exception in compliance with the scenarios in ADS 320.3.2.5, the Contractor will discuss with the COR and seek CO approval for such an exception.</w:t>
      </w:r>
    </w:p>
    <w:p w14:paraId="0C1C2D69" w14:textId="77777777" w:rsidR="007721F9" w:rsidRPr="006632A3" w:rsidRDefault="007721F9" w:rsidP="007721F9">
      <w:pPr>
        <w:rPr>
          <w:b/>
          <w:sz w:val="24"/>
          <w:szCs w:val="24"/>
        </w:rPr>
      </w:pPr>
      <w:r w:rsidRPr="006632A3">
        <w:rPr>
          <w:b/>
          <w:sz w:val="24"/>
          <w:szCs w:val="24"/>
        </w:rPr>
        <w:t xml:space="preserve">Materials that will be marked with the USAID identity. </w:t>
      </w:r>
      <w:r w:rsidRPr="006632A3">
        <w:rPr>
          <w:sz w:val="24"/>
          <w:szCs w:val="24"/>
        </w:rPr>
        <w:t>The table below presents the Contractor’s marking plan for materials funded by USAID under this activity.</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1"/>
        <w:gridCol w:w="3749"/>
        <w:gridCol w:w="2792"/>
      </w:tblGrid>
      <w:tr w:rsidR="007721F9" w:rsidRPr="006632A3" w14:paraId="485614FE" w14:textId="77777777" w:rsidTr="00CD5B73">
        <w:trPr>
          <w:cantSplit/>
          <w:tblHeader/>
        </w:trPr>
        <w:tc>
          <w:tcPr>
            <w:tcW w:w="2531" w:type="dxa"/>
            <w:tcBorders>
              <w:top w:val="single" w:sz="12" w:space="0" w:color="000000"/>
              <w:left w:val="nil"/>
              <w:bottom w:val="single" w:sz="12" w:space="0" w:color="000000"/>
              <w:right w:val="nil"/>
            </w:tcBorders>
            <w:shd w:val="clear" w:color="auto" w:fill="2F7D93"/>
            <w:vAlign w:val="center"/>
          </w:tcPr>
          <w:p w14:paraId="3006CAF2" w14:textId="77777777" w:rsidR="007721F9" w:rsidRPr="006632A3" w:rsidRDefault="007721F9" w:rsidP="00CD5B73">
            <w:pPr>
              <w:keepNext/>
              <w:pBdr>
                <w:top w:val="nil"/>
                <w:left w:val="nil"/>
                <w:bottom w:val="nil"/>
                <w:right w:val="nil"/>
                <w:between w:val="nil"/>
              </w:pBdr>
              <w:spacing w:before="20" w:after="20"/>
              <w:rPr>
                <w:b/>
                <w:color w:val="FFFFFF"/>
                <w:sz w:val="20"/>
                <w:szCs w:val="20"/>
              </w:rPr>
            </w:pPr>
            <w:r w:rsidRPr="006632A3">
              <w:rPr>
                <w:b/>
                <w:color w:val="FFFFFF"/>
                <w:sz w:val="20"/>
                <w:szCs w:val="20"/>
              </w:rPr>
              <w:t>Category</w:t>
            </w:r>
          </w:p>
        </w:tc>
        <w:tc>
          <w:tcPr>
            <w:tcW w:w="3749" w:type="dxa"/>
            <w:tcBorders>
              <w:top w:val="single" w:sz="12" w:space="0" w:color="000000"/>
              <w:left w:val="nil"/>
              <w:bottom w:val="single" w:sz="12" w:space="0" w:color="000000"/>
              <w:right w:val="nil"/>
            </w:tcBorders>
            <w:shd w:val="clear" w:color="auto" w:fill="2F7D93"/>
            <w:vAlign w:val="center"/>
          </w:tcPr>
          <w:p w14:paraId="0FA4696D" w14:textId="77777777" w:rsidR="007721F9" w:rsidRPr="006632A3" w:rsidRDefault="007721F9" w:rsidP="00CD5B73">
            <w:pPr>
              <w:keepNext/>
              <w:pBdr>
                <w:top w:val="nil"/>
                <w:left w:val="nil"/>
                <w:bottom w:val="nil"/>
                <w:right w:val="nil"/>
                <w:between w:val="nil"/>
              </w:pBdr>
              <w:spacing w:before="20" w:after="20"/>
              <w:rPr>
                <w:b/>
                <w:color w:val="FFFFFF"/>
                <w:sz w:val="20"/>
                <w:szCs w:val="20"/>
              </w:rPr>
            </w:pPr>
            <w:r w:rsidRPr="006632A3">
              <w:rPr>
                <w:b/>
                <w:color w:val="FFFFFF"/>
                <w:sz w:val="20"/>
                <w:szCs w:val="20"/>
              </w:rPr>
              <w:t>Type of Marking</w:t>
            </w:r>
          </w:p>
        </w:tc>
        <w:tc>
          <w:tcPr>
            <w:tcW w:w="2792" w:type="dxa"/>
            <w:tcBorders>
              <w:top w:val="single" w:sz="12" w:space="0" w:color="000000"/>
              <w:left w:val="nil"/>
              <w:bottom w:val="single" w:sz="12" w:space="0" w:color="000000"/>
              <w:right w:val="nil"/>
            </w:tcBorders>
            <w:shd w:val="clear" w:color="auto" w:fill="2F7D93"/>
            <w:vAlign w:val="center"/>
          </w:tcPr>
          <w:p w14:paraId="316D4753" w14:textId="77777777" w:rsidR="007721F9" w:rsidRPr="006632A3" w:rsidRDefault="007721F9" w:rsidP="00CD5B73">
            <w:pPr>
              <w:keepNext/>
              <w:pBdr>
                <w:top w:val="nil"/>
                <w:left w:val="nil"/>
                <w:bottom w:val="nil"/>
                <w:right w:val="nil"/>
                <w:between w:val="nil"/>
              </w:pBdr>
              <w:spacing w:before="20" w:after="20"/>
              <w:rPr>
                <w:b/>
                <w:color w:val="FFFFFF"/>
                <w:sz w:val="20"/>
                <w:szCs w:val="20"/>
              </w:rPr>
            </w:pPr>
            <w:r w:rsidRPr="006632A3">
              <w:rPr>
                <w:b/>
                <w:color w:val="FFFFFF"/>
                <w:sz w:val="20"/>
                <w:szCs w:val="20"/>
              </w:rPr>
              <w:t>Remarks</w:t>
            </w:r>
          </w:p>
        </w:tc>
      </w:tr>
      <w:tr w:rsidR="007721F9" w:rsidRPr="006632A3" w14:paraId="3FCDA411" w14:textId="77777777" w:rsidTr="00CD5B73">
        <w:trPr>
          <w:cantSplit/>
        </w:trPr>
        <w:tc>
          <w:tcPr>
            <w:tcW w:w="2531" w:type="dxa"/>
            <w:tcBorders>
              <w:top w:val="single" w:sz="12" w:space="0" w:color="000000"/>
              <w:left w:val="nil"/>
              <w:bottom w:val="single" w:sz="12" w:space="0" w:color="000000"/>
              <w:right w:val="nil"/>
            </w:tcBorders>
            <w:shd w:val="clear" w:color="auto" w:fill="C3C2C3"/>
          </w:tcPr>
          <w:p w14:paraId="297025F2" w14:textId="77777777" w:rsidR="007721F9" w:rsidRPr="006632A3" w:rsidRDefault="007721F9" w:rsidP="00CD5B73">
            <w:pPr>
              <w:keepNext/>
              <w:pBdr>
                <w:top w:val="nil"/>
                <w:left w:val="nil"/>
                <w:bottom w:val="nil"/>
                <w:right w:val="nil"/>
                <w:between w:val="nil"/>
              </w:pBdr>
              <w:spacing w:before="20" w:after="20"/>
              <w:rPr>
                <w:b/>
                <w:i/>
                <w:color w:val="000000"/>
                <w:sz w:val="20"/>
                <w:szCs w:val="20"/>
              </w:rPr>
            </w:pPr>
            <w:r w:rsidRPr="006632A3">
              <w:rPr>
                <w:b/>
                <w:i/>
                <w:color w:val="000000"/>
                <w:sz w:val="20"/>
                <w:szCs w:val="20"/>
              </w:rPr>
              <w:t>Administrative</w:t>
            </w:r>
          </w:p>
        </w:tc>
        <w:tc>
          <w:tcPr>
            <w:tcW w:w="3749" w:type="dxa"/>
            <w:tcBorders>
              <w:top w:val="single" w:sz="12" w:space="0" w:color="000000"/>
              <w:left w:val="nil"/>
              <w:bottom w:val="single" w:sz="12" w:space="0" w:color="000000"/>
              <w:right w:val="nil"/>
            </w:tcBorders>
            <w:shd w:val="clear" w:color="auto" w:fill="C3C2C3"/>
          </w:tcPr>
          <w:p w14:paraId="4E6C8E4E" w14:textId="77777777" w:rsidR="007721F9" w:rsidRPr="006632A3" w:rsidRDefault="007721F9" w:rsidP="00CD5B73">
            <w:pPr>
              <w:keepNext/>
              <w:pBdr>
                <w:top w:val="nil"/>
                <w:left w:val="nil"/>
                <w:bottom w:val="nil"/>
                <w:right w:val="nil"/>
                <w:between w:val="nil"/>
              </w:pBdr>
              <w:spacing w:before="20" w:after="20"/>
              <w:rPr>
                <w:i/>
                <w:color w:val="000000"/>
                <w:sz w:val="20"/>
                <w:szCs w:val="20"/>
              </w:rPr>
            </w:pPr>
          </w:p>
        </w:tc>
        <w:tc>
          <w:tcPr>
            <w:tcW w:w="2792" w:type="dxa"/>
            <w:tcBorders>
              <w:top w:val="single" w:sz="12" w:space="0" w:color="000000"/>
              <w:left w:val="nil"/>
              <w:bottom w:val="single" w:sz="12" w:space="0" w:color="000000"/>
              <w:right w:val="nil"/>
            </w:tcBorders>
            <w:shd w:val="clear" w:color="auto" w:fill="C3C2C3"/>
          </w:tcPr>
          <w:p w14:paraId="359C1490" w14:textId="77777777" w:rsidR="007721F9" w:rsidRPr="006632A3" w:rsidRDefault="007721F9" w:rsidP="00CD5B73">
            <w:pPr>
              <w:keepNext/>
              <w:pBdr>
                <w:top w:val="nil"/>
                <w:left w:val="nil"/>
                <w:bottom w:val="nil"/>
                <w:right w:val="nil"/>
                <w:between w:val="nil"/>
              </w:pBdr>
              <w:spacing w:before="20" w:after="20"/>
              <w:rPr>
                <w:i/>
                <w:color w:val="000000"/>
                <w:sz w:val="20"/>
                <w:szCs w:val="20"/>
              </w:rPr>
            </w:pPr>
          </w:p>
        </w:tc>
      </w:tr>
      <w:tr w:rsidR="007721F9" w:rsidRPr="006632A3" w14:paraId="1C32482B" w14:textId="77777777" w:rsidTr="00CD5B73">
        <w:trPr>
          <w:cantSplit/>
        </w:trPr>
        <w:tc>
          <w:tcPr>
            <w:tcW w:w="2531" w:type="dxa"/>
            <w:tcBorders>
              <w:top w:val="single" w:sz="12" w:space="0" w:color="000000"/>
              <w:left w:val="nil"/>
            </w:tcBorders>
          </w:tcPr>
          <w:p w14:paraId="4F1BEC27"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Stationery products used for administrative business</w:t>
            </w:r>
          </w:p>
        </w:tc>
        <w:tc>
          <w:tcPr>
            <w:tcW w:w="3749" w:type="dxa"/>
            <w:tcBorders>
              <w:top w:val="single" w:sz="12" w:space="0" w:color="000000"/>
            </w:tcBorders>
          </w:tcPr>
          <w:p w14:paraId="7D3F750C" w14:textId="7CF953AE"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 xml:space="preserve">Not marked with the </w:t>
            </w:r>
            <w:r w:rsidR="001B4D61">
              <w:rPr>
                <w:color w:val="000000"/>
                <w:sz w:val="20"/>
                <w:szCs w:val="20"/>
              </w:rPr>
              <w:t xml:space="preserve">Feed the Future </w:t>
            </w:r>
            <w:r w:rsidR="009858A1">
              <w:rPr>
                <w:color w:val="000000"/>
                <w:sz w:val="20"/>
                <w:szCs w:val="20"/>
              </w:rPr>
              <w:t xml:space="preserve">and </w:t>
            </w:r>
            <w:r w:rsidRPr="006632A3">
              <w:rPr>
                <w:color w:val="000000"/>
                <w:sz w:val="20"/>
                <w:szCs w:val="20"/>
              </w:rPr>
              <w:t>USAID standard graphic identit</w:t>
            </w:r>
            <w:r w:rsidR="00E02846">
              <w:rPr>
                <w:color w:val="000000"/>
                <w:sz w:val="20"/>
                <w:szCs w:val="20"/>
              </w:rPr>
              <w:t>ies</w:t>
            </w:r>
            <w:r w:rsidRPr="006632A3">
              <w:rPr>
                <w:color w:val="000000"/>
                <w:sz w:val="20"/>
                <w:szCs w:val="20"/>
              </w:rPr>
              <w:t>. Contractor logo will be used.</w:t>
            </w:r>
          </w:p>
        </w:tc>
        <w:tc>
          <w:tcPr>
            <w:tcW w:w="2792" w:type="dxa"/>
            <w:tcBorders>
              <w:top w:val="single" w:sz="12" w:space="0" w:color="000000"/>
              <w:right w:val="nil"/>
            </w:tcBorders>
          </w:tcPr>
          <w:p w14:paraId="067A483F"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Pertains to letterhead, envelopes, and mailing labels used for contractual administration.</w:t>
            </w:r>
          </w:p>
        </w:tc>
      </w:tr>
      <w:tr w:rsidR="007721F9" w:rsidRPr="006632A3" w14:paraId="610EF4F5" w14:textId="77777777" w:rsidTr="00CD5B73">
        <w:trPr>
          <w:cantSplit/>
        </w:trPr>
        <w:tc>
          <w:tcPr>
            <w:tcW w:w="2531" w:type="dxa"/>
            <w:tcBorders>
              <w:left w:val="nil"/>
            </w:tcBorders>
          </w:tcPr>
          <w:p w14:paraId="500764B3"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Stationery products used for programmatic business</w:t>
            </w:r>
          </w:p>
        </w:tc>
        <w:tc>
          <w:tcPr>
            <w:tcW w:w="3749" w:type="dxa"/>
          </w:tcPr>
          <w:p w14:paraId="6EEC1C51" w14:textId="130AB5DC" w:rsidR="007721F9" w:rsidRDefault="00E02846" w:rsidP="00CD5B73">
            <w:pPr>
              <w:pBdr>
                <w:top w:val="nil"/>
                <w:left w:val="nil"/>
                <w:bottom w:val="nil"/>
                <w:right w:val="nil"/>
                <w:between w:val="nil"/>
              </w:pBdr>
              <w:spacing w:before="20" w:after="20"/>
              <w:rPr>
                <w:color w:val="000000"/>
                <w:sz w:val="20"/>
                <w:szCs w:val="20"/>
              </w:rPr>
            </w:pPr>
            <w:r>
              <w:rPr>
                <w:color w:val="000000"/>
                <w:sz w:val="20"/>
                <w:szCs w:val="20"/>
              </w:rPr>
              <w:t xml:space="preserve">Feed the Future </w:t>
            </w:r>
            <w:r w:rsidR="009858A1">
              <w:rPr>
                <w:color w:val="000000"/>
                <w:sz w:val="20"/>
                <w:szCs w:val="20"/>
              </w:rPr>
              <w:t>and</w:t>
            </w:r>
            <w:r>
              <w:rPr>
                <w:color w:val="000000"/>
                <w:sz w:val="20"/>
                <w:szCs w:val="20"/>
              </w:rPr>
              <w:t xml:space="preserve"> </w:t>
            </w:r>
            <w:r w:rsidR="007721F9" w:rsidRPr="006632A3">
              <w:rPr>
                <w:color w:val="000000"/>
                <w:sz w:val="20"/>
                <w:szCs w:val="20"/>
              </w:rPr>
              <w:t>USAID standard graphic identit</w:t>
            </w:r>
            <w:r>
              <w:rPr>
                <w:color w:val="000000"/>
                <w:sz w:val="20"/>
                <w:szCs w:val="20"/>
              </w:rPr>
              <w:t>ies</w:t>
            </w:r>
            <w:r w:rsidR="007721F9" w:rsidRPr="006632A3">
              <w:rPr>
                <w:color w:val="000000"/>
                <w:sz w:val="20"/>
                <w:szCs w:val="20"/>
              </w:rPr>
              <w:t xml:space="preserve"> will be used.</w:t>
            </w:r>
          </w:p>
          <w:p w14:paraId="46AF0104" w14:textId="74F8DC96" w:rsidR="00AC4E65" w:rsidRPr="006632A3" w:rsidRDefault="00AC4E65" w:rsidP="00CD5B73">
            <w:pPr>
              <w:pBdr>
                <w:top w:val="nil"/>
                <w:left w:val="nil"/>
                <w:bottom w:val="nil"/>
                <w:right w:val="nil"/>
                <w:between w:val="nil"/>
              </w:pBdr>
              <w:spacing w:before="20" w:after="20"/>
              <w:rPr>
                <w:color w:val="000000"/>
                <w:sz w:val="20"/>
                <w:szCs w:val="20"/>
              </w:rPr>
            </w:pPr>
          </w:p>
        </w:tc>
        <w:tc>
          <w:tcPr>
            <w:tcW w:w="2792" w:type="dxa"/>
            <w:tcBorders>
              <w:right w:val="nil"/>
            </w:tcBorders>
          </w:tcPr>
          <w:p w14:paraId="42C6D610"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Pertains to letterhead, envelopes, and mailing labels used for contractual administration.</w:t>
            </w:r>
          </w:p>
        </w:tc>
      </w:tr>
      <w:tr w:rsidR="007721F9" w:rsidRPr="006632A3" w14:paraId="151DFE3D" w14:textId="77777777" w:rsidTr="00CD5B73">
        <w:trPr>
          <w:cantSplit/>
        </w:trPr>
        <w:tc>
          <w:tcPr>
            <w:tcW w:w="2531" w:type="dxa"/>
            <w:tcBorders>
              <w:left w:val="nil"/>
            </w:tcBorders>
          </w:tcPr>
          <w:p w14:paraId="15D85058"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Business cards</w:t>
            </w:r>
          </w:p>
        </w:tc>
        <w:tc>
          <w:tcPr>
            <w:tcW w:w="3749" w:type="dxa"/>
          </w:tcPr>
          <w:p w14:paraId="268F04AE" w14:textId="3D48C5D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 xml:space="preserve">Not marked with the </w:t>
            </w:r>
            <w:r w:rsidR="00E02846">
              <w:rPr>
                <w:color w:val="000000"/>
                <w:sz w:val="20"/>
                <w:szCs w:val="20"/>
              </w:rPr>
              <w:t>Feed the Future</w:t>
            </w:r>
            <w:r w:rsidR="00785167">
              <w:rPr>
                <w:color w:val="000000"/>
                <w:sz w:val="20"/>
                <w:szCs w:val="20"/>
              </w:rPr>
              <w:t xml:space="preserve"> </w:t>
            </w:r>
            <w:r w:rsidR="009858A1">
              <w:rPr>
                <w:color w:val="000000"/>
                <w:sz w:val="20"/>
                <w:szCs w:val="20"/>
              </w:rPr>
              <w:t>and</w:t>
            </w:r>
            <w:r w:rsidR="00785167">
              <w:rPr>
                <w:color w:val="000000"/>
                <w:sz w:val="20"/>
                <w:szCs w:val="20"/>
              </w:rPr>
              <w:t xml:space="preserve"> </w:t>
            </w:r>
            <w:r w:rsidRPr="006632A3">
              <w:rPr>
                <w:color w:val="000000"/>
                <w:sz w:val="20"/>
                <w:szCs w:val="20"/>
              </w:rPr>
              <w:t>USAID standard graphic identit</w:t>
            </w:r>
            <w:r w:rsidR="00CA6430">
              <w:rPr>
                <w:color w:val="000000"/>
                <w:sz w:val="20"/>
                <w:szCs w:val="20"/>
              </w:rPr>
              <w:t>ies</w:t>
            </w:r>
            <w:r w:rsidRPr="006632A3">
              <w:rPr>
                <w:color w:val="000000"/>
                <w:sz w:val="20"/>
                <w:szCs w:val="20"/>
              </w:rPr>
              <w:t xml:space="preserve">. </w:t>
            </w:r>
          </w:p>
        </w:tc>
        <w:tc>
          <w:tcPr>
            <w:tcW w:w="2792" w:type="dxa"/>
            <w:tcBorders>
              <w:right w:val="nil"/>
            </w:tcBorders>
          </w:tcPr>
          <w:p w14:paraId="57B35057"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Contractor to use its own business cards but may include the activity name on the card and “USAID Contractor” on the card.</w:t>
            </w:r>
          </w:p>
        </w:tc>
      </w:tr>
      <w:tr w:rsidR="007721F9" w:rsidRPr="006632A3" w14:paraId="7C7411E6" w14:textId="77777777" w:rsidTr="00CD5B73">
        <w:trPr>
          <w:cantSplit/>
        </w:trPr>
        <w:tc>
          <w:tcPr>
            <w:tcW w:w="2531" w:type="dxa"/>
            <w:tcBorders>
              <w:left w:val="nil"/>
            </w:tcBorders>
          </w:tcPr>
          <w:p w14:paraId="3AAF1B77"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Office signs</w:t>
            </w:r>
          </w:p>
        </w:tc>
        <w:tc>
          <w:tcPr>
            <w:tcW w:w="3749" w:type="dxa"/>
          </w:tcPr>
          <w:p w14:paraId="6ABD6BA3" w14:textId="1B933B8E" w:rsidR="007721F9" w:rsidRPr="006632A3" w:rsidRDefault="00CA6430" w:rsidP="00CD5B73">
            <w:pPr>
              <w:pBdr>
                <w:top w:val="nil"/>
                <w:left w:val="nil"/>
                <w:bottom w:val="nil"/>
                <w:right w:val="nil"/>
                <w:between w:val="nil"/>
              </w:pBdr>
              <w:spacing w:before="20" w:after="20"/>
              <w:rPr>
                <w:color w:val="000000"/>
                <w:sz w:val="20"/>
                <w:szCs w:val="20"/>
              </w:rPr>
            </w:pPr>
            <w:r>
              <w:rPr>
                <w:color w:val="000000"/>
                <w:sz w:val="20"/>
                <w:szCs w:val="20"/>
              </w:rPr>
              <w:t xml:space="preserve">Feed the Future </w:t>
            </w:r>
            <w:r w:rsidR="009858A1">
              <w:rPr>
                <w:color w:val="000000"/>
                <w:sz w:val="20"/>
                <w:szCs w:val="20"/>
              </w:rPr>
              <w:t>and</w:t>
            </w:r>
            <w:r w:rsidR="004A0F32">
              <w:rPr>
                <w:color w:val="000000"/>
                <w:sz w:val="20"/>
                <w:szCs w:val="20"/>
              </w:rPr>
              <w:t xml:space="preserve"> </w:t>
            </w:r>
            <w:r w:rsidR="007721F9" w:rsidRPr="006632A3">
              <w:rPr>
                <w:color w:val="000000"/>
                <w:sz w:val="20"/>
                <w:szCs w:val="20"/>
              </w:rPr>
              <w:t>USAID standard graphic identit</w:t>
            </w:r>
            <w:r w:rsidR="005A2EE5">
              <w:rPr>
                <w:color w:val="000000"/>
                <w:sz w:val="20"/>
                <w:szCs w:val="20"/>
              </w:rPr>
              <w:t>ies</w:t>
            </w:r>
            <w:r w:rsidR="007721F9" w:rsidRPr="006632A3">
              <w:rPr>
                <w:color w:val="000000"/>
                <w:sz w:val="20"/>
                <w:szCs w:val="20"/>
              </w:rPr>
              <w:t xml:space="preserve"> will be used to identify the office space as a </w:t>
            </w:r>
            <w:r w:rsidR="007721F9" w:rsidRPr="003E59C2">
              <w:rPr>
                <w:color w:val="000000"/>
                <w:sz w:val="20"/>
                <w:szCs w:val="20"/>
              </w:rPr>
              <w:t>USAID-funded property</w:t>
            </w:r>
            <w:r w:rsidR="007721F9" w:rsidRPr="0066678F">
              <w:rPr>
                <w:color w:val="000000"/>
                <w:sz w:val="20"/>
                <w:szCs w:val="20"/>
              </w:rPr>
              <w:t>.</w:t>
            </w:r>
          </w:p>
        </w:tc>
        <w:tc>
          <w:tcPr>
            <w:tcW w:w="2792" w:type="dxa"/>
            <w:tcBorders>
              <w:right w:val="nil"/>
            </w:tcBorders>
          </w:tcPr>
          <w:p w14:paraId="7FD72A06" w14:textId="77777777" w:rsidR="007721F9" w:rsidRPr="006632A3" w:rsidRDefault="007721F9" w:rsidP="00CD5B73">
            <w:pPr>
              <w:pBdr>
                <w:top w:val="nil"/>
                <w:left w:val="nil"/>
                <w:bottom w:val="nil"/>
                <w:right w:val="nil"/>
                <w:between w:val="nil"/>
              </w:pBdr>
              <w:spacing w:before="20" w:after="20"/>
              <w:rPr>
                <w:color w:val="000000"/>
                <w:sz w:val="20"/>
                <w:szCs w:val="20"/>
              </w:rPr>
            </w:pPr>
          </w:p>
        </w:tc>
      </w:tr>
      <w:tr w:rsidR="007721F9" w:rsidRPr="006632A3" w14:paraId="11BF0C1B" w14:textId="77777777" w:rsidTr="00CD5B73">
        <w:trPr>
          <w:cantSplit/>
        </w:trPr>
        <w:tc>
          <w:tcPr>
            <w:tcW w:w="2531" w:type="dxa"/>
            <w:tcBorders>
              <w:left w:val="nil"/>
            </w:tcBorders>
          </w:tcPr>
          <w:p w14:paraId="0BDFB026"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lastRenderedPageBreak/>
              <w:t>Equipment</w:t>
            </w:r>
          </w:p>
        </w:tc>
        <w:tc>
          <w:tcPr>
            <w:tcW w:w="3749" w:type="dxa"/>
          </w:tcPr>
          <w:p w14:paraId="1F756491" w14:textId="55CD85B8" w:rsidR="007721F9" w:rsidRPr="006632A3" w:rsidRDefault="00C60CF1" w:rsidP="00CD5B73">
            <w:pPr>
              <w:pBdr>
                <w:top w:val="nil"/>
                <w:left w:val="nil"/>
                <w:bottom w:val="nil"/>
                <w:right w:val="nil"/>
                <w:between w:val="nil"/>
              </w:pBdr>
              <w:spacing w:before="20" w:after="20"/>
              <w:rPr>
                <w:color w:val="000000"/>
                <w:sz w:val="20"/>
                <w:szCs w:val="20"/>
              </w:rPr>
            </w:pPr>
            <w:r>
              <w:rPr>
                <w:color w:val="000000"/>
                <w:sz w:val="20"/>
                <w:szCs w:val="20"/>
              </w:rPr>
              <w:t xml:space="preserve">Feed the Future </w:t>
            </w:r>
            <w:r w:rsidR="009858A1">
              <w:rPr>
                <w:color w:val="000000"/>
                <w:sz w:val="20"/>
                <w:szCs w:val="20"/>
              </w:rPr>
              <w:t>and</w:t>
            </w:r>
            <w:r>
              <w:rPr>
                <w:color w:val="000000"/>
                <w:sz w:val="20"/>
                <w:szCs w:val="20"/>
              </w:rPr>
              <w:t xml:space="preserve"> </w:t>
            </w:r>
            <w:r w:rsidR="007721F9" w:rsidRPr="006632A3">
              <w:rPr>
                <w:color w:val="000000"/>
                <w:sz w:val="20"/>
                <w:szCs w:val="20"/>
              </w:rPr>
              <w:t>USAID standard graphic identit</w:t>
            </w:r>
            <w:r w:rsidR="001B2378">
              <w:rPr>
                <w:color w:val="000000"/>
                <w:sz w:val="20"/>
                <w:szCs w:val="20"/>
              </w:rPr>
              <w:t>ies</w:t>
            </w:r>
            <w:r w:rsidR="007721F9" w:rsidRPr="006632A3">
              <w:rPr>
                <w:color w:val="000000"/>
                <w:sz w:val="20"/>
                <w:szCs w:val="20"/>
              </w:rPr>
              <w:t xml:space="preserve"> will be used to identify the items as USAID-funded property, except in cases where marking would impede the functionality of the item (per ADS 320.3.2.5.d)</w:t>
            </w:r>
          </w:p>
        </w:tc>
        <w:tc>
          <w:tcPr>
            <w:tcW w:w="2792" w:type="dxa"/>
            <w:tcBorders>
              <w:right w:val="nil"/>
            </w:tcBorders>
          </w:tcPr>
          <w:p w14:paraId="759FE271"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Any exceptions will be cleared in advance.</w:t>
            </w:r>
          </w:p>
        </w:tc>
      </w:tr>
      <w:tr w:rsidR="007721F9" w:rsidRPr="006632A3" w14:paraId="59D04BFD" w14:textId="77777777" w:rsidTr="00CD5B73">
        <w:trPr>
          <w:cantSplit/>
        </w:trPr>
        <w:tc>
          <w:tcPr>
            <w:tcW w:w="2531" w:type="dxa"/>
            <w:tcBorders>
              <w:left w:val="nil"/>
            </w:tcBorders>
          </w:tcPr>
          <w:p w14:paraId="69400F72"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Vehicles</w:t>
            </w:r>
          </w:p>
        </w:tc>
        <w:tc>
          <w:tcPr>
            <w:tcW w:w="3749" w:type="dxa"/>
          </w:tcPr>
          <w:p w14:paraId="599D65A0" w14:textId="39C57E49" w:rsidR="007721F9" w:rsidRPr="006632A3" w:rsidRDefault="009650D2" w:rsidP="00CD5B73">
            <w:pPr>
              <w:pBdr>
                <w:top w:val="nil"/>
                <w:left w:val="nil"/>
                <w:bottom w:val="nil"/>
                <w:right w:val="nil"/>
                <w:between w:val="nil"/>
              </w:pBdr>
              <w:spacing w:before="20" w:after="20"/>
              <w:rPr>
                <w:color w:val="000000"/>
                <w:sz w:val="20"/>
                <w:szCs w:val="20"/>
              </w:rPr>
            </w:pPr>
            <w:sdt>
              <w:sdtPr>
                <w:rPr>
                  <w:color w:val="000000"/>
                  <w:sz w:val="20"/>
                  <w:szCs w:val="20"/>
                </w:rPr>
                <w:tag w:val="goog_rdk_31"/>
                <w:id w:val="471643955"/>
              </w:sdtPr>
              <w:sdtEndPr/>
              <w:sdtContent>
                <w:r w:rsidR="00131131" w:rsidRPr="003E59C2">
                  <w:rPr>
                    <w:color w:val="000000"/>
                    <w:sz w:val="20"/>
                    <w:szCs w:val="20"/>
                  </w:rPr>
                  <w:t xml:space="preserve">Feed the Future </w:t>
                </w:r>
                <w:r w:rsidR="009858A1" w:rsidRPr="003E59C2">
                  <w:rPr>
                    <w:color w:val="000000"/>
                    <w:sz w:val="20"/>
                    <w:szCs w:val="20"/>
                  </w:rPr>
                  <w:t>and</w:t>
                </w:r>
                <w:r w:rsidR="00131131" w:rsidRPr="003E59C2">
                  <w:rPr>
                    <w:color w:val="000000"/>
                    <w:sz w:val="20"/>
                    <w:szCs w:val="20"/>
                  </w:rPr>
                  <w:t xml:space="preserve"> </w:t>
                </w:r>
              </w:sdtContent>
            </w:sdt>
            <w:r w:rsidR="007721F9" w:rsidRPr="006632A3">
              <w:rPr>
                <w:color w:val="000000"/>
                <w:sz w:val="20"/>
                <w:szCs w:val="20"/>
              </w:rPr>
              <w:t>USAID standard graphic identit</w:t>
            </w:r>
            <w:r w:rsidR="00503806">
              <w:rPr>
                <w:color w:val="000000"/>
                <w:sz w:val="20"/>
                <w:szCs w:val="20"/>
              </w:rPr>
              <w:t>ies</w:t>
            </w:r>
            <w:r w:rsidR="007721F9" w:rsidRPr="006632A3">
              <w:rPr>
                <w:color w:val="000000"/>
                <w:sz w:val="20"/>
                <w:szCs w:val="20"/>
              </w:rPr>
              <w:t xml:space="preserve"> on </w:t>
            </w:r>
            <w:r w:rsidR="00887CF8">
              <w:rPr>
                <w:color w:val="000000"/>
                <w:sz w:val="20"/>
                <w:szCs w:val="20"/>
              </w:rPr>
              <w:t xml:space="preserve">a </w:t>
            </w:r>
            <w:r w:rsidR="007721F9" w:rsidRPr="006632A3">
              <w:rPr>
                <w:color w:val="000000"/>
                <w:sz w:val="20"/>
                <w:szCs w:val="20"/>
              </w:rPr>
              <w:t>magnetized logo will be used to identify the vehicle as a USAID-funded property.</w:t>
            </w:r>
          </w:p>
        </w:tc>
        <w:tc>
          <w:tcPr>
            <w:tcW w:w="2792" w:type="dxa"/>
            <w:tcBorders>
              <w:right w:val="nil"/>
            </w:tcBorders>
          </w:tcPr>
          <w:p w14:paraId="06508378"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Can be removed if travel to conflict areas is required.</w:t>
            </w:r>
          </w:p>
        </w:tc>
      </w:tr>
      <w:tr w:rsidR="007721F9" w:rsidRPr="006632A3" w14:paraId="4671378B" w14:textId="77777777" w:rsidTr="00CD5B73">
        <w:trPr>
          <w:cantSplit/>
        </w:trPr>
        <w:tc>
          <w:tcPr>
            <w:tcW w:w="2531" w:type="dxa"/>
            <w:tcBorders>
              <w:left w:val="nil"/>
              <w:bottom w:val="single" w:sz="4" w:space="0" w:color="000000"/>
            </w:tcBorders>
          </w:tcPr>
          <w:p w14:paraId="270007FF"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Activity deliverables</w:t>
            </w:r>
          </w:p>
        </w:tc>
        <w:tc>
          <w:tcPr>
            <w:tcW w:w="3749" w:type="dxa"/>
            <w:tcBorders>
              <w:bottom w:val="single" w:sz="4" w:space="0" w:color="000000"/>
            </w:tcBorders>
          </w:tcPr>
          <w:p w14:paraId="473F885E"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Follows guidelines for full branding.</w:t>
            </w:r>
          </w:p>
        </w:tc>
        <w:tc>
          <w:tcPr>
            <w:tcW w:w="2792" w:type="dxa"/>
            <w:tcBorders>
              <w:bottom w:val="single" w:sz="4" w:space="0" w:color="000000"/>
              <w:right w:val="nil"/>
            </w:tcBorders>
          </w:tcPr>
          <w:p w14:paraId="6B5F69F8" w14:textId="77777777" w:rsidR="007721F9" w:rsidRPr="006632A3" w:rsidRDefault="007721F9" w:rsidP="00CD5B73">
            <w:pPr>
              <w:pBdr>
                <w:top w:val="nil"/>
                <w:left w:val="nil"/>
                <w:bottom w:val="nil"/>
                <w:right w:val="nil"/>
                <w:between w:val="nil"/>
              </w:pBdr>
              <w:spacing w:before="20" w:after="20"/>
              <w:rPr>
                <w:color w:val="000000"/>
                <w:sz w:val="20"/>
                <w:szCs w:val="20"/>
              </w:rPr>
            </w:pPr>
          </w:p>
        </w:tc>
      </w:tr>
      <w:tr w:rsidR="007721F9" w:rsidRPr="006632A3" w14:paraId="3AAB9BA5" w14:textId="77777777" w:rsidTr="00CD5B73">
        <w:trPr>
          <w:cantSplit/>
        </w:trPr>
        <w:tc>
          <w:tcPr>
            <w:tcW w:w="2531" w:type="dxa"/>
            <w:tcBorders>
              <w:top w:val="single" w:sz="12" w:space="0" w:color="000000"/>
              <w:left w:val="nil"/>
              <w:bottom w:val="single" w:sz="12" w:space="0" w:color="000000"/>
            </w:tcBorders>
            <w:shd w:val="clear" w:color="auto" w:fill="C3C2C3"/>
          </w:tcPr>
          <w:p w14:paraId="006CB16E" w14:textId="77777777" w:rsidR="007721F9" w:rsidRPr="006632A3" w:rsidRDefault="007721F9" w:rsidP="00CD5B73">
            <w:pPr>
              <w:pBdr>
                <w:top w:val="nil"/>
                <w:left w:val="nil"/>
                <w:bottom w:val="nil"/>
                <w:right w:val="nil"/>
                <w:between w:val="nil"/>
              </w:pBdr>
              <w:spacing w:before="20" w:after="20"/>
              <w:rPr>
                <w:b/>
                <w:i/>
                <w:color w:val="000000"/>
                <w:sz w:val="20"/>
                <w:szCs w:val="20"/>
              </w:rPr>
            </w:pPr>
            <w:r w:rsidRPr="006632A3">
              <w:rPr>
                <w:b/>
                <w:i/>
                <w:color w:val="000000"/>
                <w:sz w:val="20"/>
                <w:szCs w:val="20"/>
              </w:rPr>
              <w:t>Technical</w:t>
            </w:r>
          </w:p>
        </w:tc>
        <w:tc>
          <w:tcPr>
            <w:tcW w:w="3749" w:type="dxa"/>
            <w:tcBorders>
              <w:top w:val="single" w:sz="12" w:space="0" w:color="000000"/>
              <w:bottom w:val="single" w:sz="12" w:space="0" w:color="000000"/>
            </w:tcBorders>
            <w:shd w:val="clear" w:color="auto" w:fill="C3C2C3"/>
          </w:tcPr>
          <w:p w14:paraId="64DF8BF2" w14:textId="77777777" w:rsidR="007721F9" w:rsidRPr="006632A3" w:rsidRDefault="007721F9" w:rsidP="00CD5B73">
            <w:pPr>
              <w:pBdr>
                <w:top w:val="nil"/>
                <w:left w:val="nil"/>
                <w:bottom w:val="nil"/>
                <w:right w:val="nil"/>
                <w:between w:val="nil"/>
              </w:pBdr>
              <w:spacing w:before="20" w:after="20"/>
              <w:rPr>
                <w:i/>
                <w:color w:val="000000"/>
                <w:sz w:val="20"/>
                <w:szCs w:val="20"/>
              </w:rPr>
            </w:pPr>
          </w:p>
        </w:tc>
        <w:tc>
          <w:tcPr>
            <w:tcW w:w="2792" w:type="dxa"/>
            <w:tcBorders>
              <w:top w:val="single" w:sz="12" w:space="0" w:color="000000"/>
              <w:bottom w:val="single" w:sz="12" w:space="0" w:color="000000"/>
              <w:right w:val="nil"/>
            </w:tcBorders>
            <w:shd w:val="clear" w:color="auto" w:fill="C3C2C3"/>
          </w:tcPr>
          <w:p w14:paraId="6F08AB96" w14:textId="77777777" w:rsidR="007721F9" w:rsidRPr="006632A3" w:rsidRDefault="007721F9" w:rsidP="00CD5B73">
            <w:pPr>
              <w:pBdr>
                <w:top w:val="nil"/>
                <w:left w:val="nil"/>
                <w:bottom w:val="nil"/>
                <w:right w:val="nil"/>
                <w:between w:val="nil"/>
              </w:pBdr>
              <w:spacing w:before="20" w:after="20"/>
              <w:rPr>
                <w:i/>
                <w:color w:val="000000"/>
                <w:sz w:val="20"/>
                <w:szCs w:val="20"/>
              </w:rPr>
            </w:pPr>
          </w:p>
        </w:tc>
      </w:tr>
      <w:tr w:rsidR="007721F9" w:rsidRPr="006632A3" w14:paraId="002596E5" w14:textId="77777777" w:rsidTr="00CD5B73">
        <w:trPr>
          <w:cantSplit/>
        </w:trPr>
        <w:tc>
          <w:tcPr>
            <w:tcW w:w="2531" w:type="dxa"/>
            <w:tcBorders>
              <w:top w:val="single" w:sz="12" w:space="0" w:color="000000"/>
              <w:left w:val="nil"/>
            </w:tcBorders>
          </w:tcPr>
          <w:p w14:paraId="647ED00C"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Technical reports and studies</w:t>
            </w:r>
          </w:p>
        </w:tc>
        <w:tc>
          <w:tcPr>
            <w:tcW w:w="3749" w:type="dxa"/>
            <w:tcBorders>
              <w:top w:val="single" w:sz="12" w:space="0" w:color="000000"/>
            </w:tcBorders>
          </w:tcPr>
          <w:p w14:paraId="700044A8" w14:textId="4FD13BFF" w:rsidR="007721F9" w:rsidRPr="006632A3" w:rsidRDefault="009650D2" w:rsidP="00CD5B73">
            <w:pPr>
              <w:pBdr>
                <w:top w:val="nil"/>
                <w:left w:val="nil"/>
                <w:bottom w:val="nil"/>
                <w:right w:val="nil"/>
                <w:between w:val="nil"/>
              </w:pBdr>
              <w:spacing w:before="20" w:after="20"/>
              <w:rPr>
                <w:color w:val="000000"/>
                <w:sz w:val="20"/>
                <w:szCs w:val="20"/>
              </w:rPr>
            </w:pPr>
            <w:sdt>
              <w:sdtPr>
                <w:rPr>
                  <w:color w:val="000000"/>
                  <w:sz w:val="20"/>
                  <w:szCs w:val="20"/>
                </w:rPr>
                <w:tag w:val="goog_rdk_32"/>
                <w:id w:val="-1484084168"/>
              </w:sdtPr>
              <w:sdtEndPr/>
              <w:sdtContent>
                <w:r w:rsidR="004B0151" w:rsidRPr="003E59C2">
                  <w:rPr>
                    <w:color w:val="000000"/>
                    <w:sz w:val="20"/>
                    <w:szCs w:val="20"/>
                  </w:rPr>
                  <w:t xml:space="preserve">Feed the Future </w:t>
                </w:r>
                <w:r w:rsidR="007B7C9D" w:rsidRPr="003E59C2">
                  <w:rPr>
                    <w:color w:val="000000"/>
                    <w:sz w:val="20"/>
                    <w:szCs w:val="20"/>
                  </w:rPr>
                  <w:t>and</w:t>
                </w:r>
                <w:r w:rsidR="004B0151" w:rsidRPr="003E59C2">
                  <w:rPr>
                    <w:color w:val="000000"/>
                    <w:sz w:val="20"/>
                    <w:szCs w:val="20"/>
                  </w:rPr>
                  <w:t xml:space="preserve"> </w:t>
                </w:r>
              </w:sdtContent>
            </w:sdt>
            <w:r w:rsidR="007721F9" w:rsidRPr="006632A3">
              <w:rPr>
                <w:color w:val="000000"/>
                <w:sz w:val="20"/>
                <w:szCs w:val="20"/>
              </w:rPr>
              <w:t>USAID identit</w:t>
            </w:r>
            <w:r w:rsidR="00D22600">
              <w:rPr>
                <w:color w:val="000000"/>
                <w:sz w:val="20"/>
                <w:szCs w:val="20"/>
              </w:rPr>
              <w:t>ies</w:t>
            </w:r>
            <w:r w:rsidR="007721F9" w:rsidRPr="006632A3">
              <w:rPr>
                <w:color w:val="000000"/>
                <w:sz w:val="20"/>
                <w:szCs w:val="20"/>
              </w:rPr>
              <w:t xml:space="preserve"> </w:t>
            </w:r>
            <w:r w:rsidR="00887CF8">
              <w:rPr>
                <w:color w:val="000000"/>
                <w:sz w:val="20"/>
                <w:szCs w:val="20"/>
              </w:rPr>
              <w:t xml:space="preserve">will be </w:t>
            </w:r>
            <w:r w:rsidR="007721F9" w:rsidRPr="006632A3">
              <w:rPr>
                <w:color w:val="000000"/>
                <w:sz w:val="20"/>
                <w:szCs w:val="20"/>
              </w:rPr>
              <w:t xml:space="preserve">printed on the cover of documents; </w:t>
            </w:r>
            <w:r w:rsidR="00887CF8">
              <w:rPr>
                <w:color w:val="000000"/>
                <w:sz w:val="20"/>
                <w:szCs w:val="20"/>
              </w:rPr>
              <w:t xml:space="preserve">the </w:t>
            </w:r>
            <w:r w:rsidR="007721F9" w:rsidRPr="006632A3">
              <w:rPr>
                <w:color w:val="000000"/>
                <w:sz w:val="20"/>
                <w:szCs w:val="20"/>
              </w:rPr>
              <w:t xml:space="preserve">design follows guidelines for full branding unless co-branding or no branding is approved. </w:t>
            </w:r>
          </w:p>
        </w:tc>
        <w:tc>
          <w:tcPr>
            <w:tcW w:w="2792" w:type="dxa"/>
            <w:tcBorders>
              <w:top w:val="single" w:sz="12" w:space="0" w:color="000000"/>
              <w:right w:val="nil"/>
            </w:tcBorders>
          </w:tcPr>
          <w:p w14:paraId="5556DB3D" w14:textId="77777777" w:rsidR="007721F9" w:rsidRPr="006632A3" w:rsidRDefault="007721F9" w:rsidP="00CD5B73">
            <w:pPr>
              <w:pBdr>
                <w:top w:val="nil"/>
                <w:left w:val="nil"/>
                <w:bottom w:val="nil"/>
                <w:right w:val="nil"/>
                <w:between w:val="nil"/>
              </w:pBdr>
              <w:spacing w:before="20" w:after="20"/>
              <w:rPr>
                <w:color w:val="000000"/>
                <w:sz w:val="20"/>
                <w:szCs w:val="20"/>
              </w:rPr>
            </w:pPr>
          </w:p>
        </w:tc>
      </w:tr>
      <w:tr w:rsidR="007721F9" w:rsidRPr="006632A3" w14:paraId="67CE5F93" w14:textId="77777777" w:rsidTr="00CD5B73">
        <w:trPr>
          <w:cantSplit/>
        </w:trPr>
        <w:tc>
          <w:tcPr>
            <w:tcW w:w="2531" w:type="dxa"/>
            <w:tcBorders>
              <w:left w:val="nil"/>
            </w:tcBorders>
          </w:tcPr>
          <w:p w14:paraId="3D1A799A"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Briefing papers, memoranda, and policy recommendations</w:t>
            </w:r>
          </w:p>
        </w:tc>
        <w:tc>
          <w:tcPr>
            <w:tcW w:w="3749" w:type="dxa"/>
          </w:tcPr>
          <w:p w14:paraId="3BB7DB72" w14:textId="54DD07C6" w:rsidR="007721F9" w:rsidRPr="006632A3" w:rsidRDefault="004B0151" w:rsidP="00CD5B73">
            <w:pPr>
              <w:pBdr>
                <w:top w:val="nil"/>
                <w:left w:val="nil"/>
                <w:bottom w:val="nil"/>
                <w:right w:val="nil"/>
                <w:between w:val="nil"/>
              </w:pBdr>
              <w:spacing w:before="20" w:after="20"/>
              <w:rPr>
                <w:color w:val="000000"/>
                <w:sz w:val="20"/>
                <w:szCs w:val="20"/>
              </w:rPr>
            </w:pPr>
            <w:r>
              <w:rPr>
                <w:color w:val="000000"/>
                <w:sz w:val="20"/>
                <w:szCs w:val="20"/>
              </w:rPr>
              <w:t>Feed the Future</w:t>
            </w:r>
            <w:r w:rsidR="005A0B20">
              <w:rPr>
                <w:color w:val="000000"/>
                <w:sz w:val="20"/>
                <w:szCs w:val="20"/>
              </w:rPr>
              <w:t xml:space="preserve"> </w:t>
            </w:r>
            <w:r w:rsidR="007B7C9D">
              <w:rPr>
                <w:color w:val="000000"/>
                <w:sz w:val="20"/>
                <w:szCs w:val="20"/>
              </w:rPr>
              <w:t>and</w:t>
            </w:r>
            <w:r w:rsidR="005A0B20">
              <w:rPr>
                <w:color w:val="000000"/>
                <w:sz w:val="20"/>
                <w:szCs w:val="20"/>
              </w:rPr>
              <w:t xml:space="preserve"> </w:t>
            </w:r>
            <w:r w:rsidR="007721F9" w:rsidRPr="006632A3">
              <w:rPr>
                <w:color w:val="000000"/>
                <w:sz w:val="20"/>
                <w:szCs w:val="20"/>
              </w:rPr>
              <w:t>USAID identit</w:t>
            </w:r>
            <w:r w:rsidR="00D22600">
              <w:rPr>
                <w:color w:val="000000"/>
                <w:sz w:val="20"/>
                <w:szCs w:val="20"/>
              </w:rPr>
              <w:t>ies</w:t>
            </w:r>
            <w:r w:rsidR="007721F9" w:rsidRPr="006632A3">
              <w:rPr>
                <w:color w:val="000000"/>
                <w:sz w:val="20"/>
                <w:szCs w:val="20"/>
              </w:rPr>
              <w:t xml:space="preserve"> </w:t>
            </w:r>
            <w:r w:rsidR="00887CF8">
              <w:rPr>
                <w:color w:val="000000"/>
                <w:sz w:val="20"/>
                <w:szCs w:val="20"/>
              </w:rPr>
              <w:t xml:space="preserve">will be </w:t>
            </w:r>
            <w:r w:rsidR="007721F9" w:rsidRPr="006632A3">
              <w:rPr>
                <w:color w:val="000000"/>
                <w:sz w:val="20"/>
                <w:szCs w:val="20"/>
              </w:rPr>
              <w:t xml:space="preserve">printed on the cover of documents; </w:t>
            </w:r>
            <w:r w:rsidR="00887CF8">
              <w:rPr>
                <w:color w:val="000000"/>
                <w:sz w:val="20"/>
                <w:szCs w:val="20"/>
              </w:rPr>
              <w:t xml:space="preserve">the </w:t>
            </w:r>
            <w:r w:rsidR="007721F9" w:rsidRPr="006632A3">
              <w:rPr>
                <w:color w:val="000000"/>
                <w:sz w:val="20"/>
                <w:szCs w:val="20"/>
              </w:rPr>
              <w:t>design follows guidelines for full branding unless co-branding or no branding is approved.</w:t>
            </w:r>
          </w:p>
        </w:tc>
        <w:tc>
          <w:tcPr>
            <w:tcW w:w="2792" w:type="dxa"/>
            <w:tcBorders>
              <w:right w:val="nil"/>
            </w:tcBorders>
          </w:tcPr>
          <w:p w14:paraId="176A65C1" w14:textId="77777777" w:rsidR="007721F9" w:rsidRPr="006632A3" w:rsidRDefault="007721F9" w:rsidP="00CD5B73">
            <w:pPr>
              <w:pBdr>
                <w:top w:val="nil"/>
                <w:left w:val="nil"/>
                <w:bottom w:val="nil"/>
                <w:right w:val="nil"/>
                <w:between w:val="nil"/>
              </w:pBdr>
              <w:spacing w:before="20" w:after="20"/>
              <w:rPr>
                <w:color w:val="000000"/>
                <w:sz w:val="20"/>
                <w:szCs w:val="20"/>
              </w:rPr>
            </w:pPr>
          </w:p>
        </w:tc>
      </w:tr>
      <w:tr w:rsidR="007721F9" w:rsidRPr="006632A3" w14:paraId="4E690616" w14:textId="77777777" w:rsidTr="00CD5B73">
        <w:trPr>
          <w:cantSplit/>
        </w:trPr>
        <w:tc>
          <w:tcPr>
            <w:tcW w:w="2531" w:type="dxa"/>
            <w:tcBorders>
              <w:left w:val="nil"/>
              <w:bottom w:val="single" w:sz="4" w:space="0" w:color="000000"/>
            </w:tcBorders>
          </w:tcPr>
          <w:p w14:paraId="733568A9"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 xml:space="preserve">Government policies, </w:t>
            </w:r>
          </w:p>
          <w:p w14:paraId="62FD0890"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 xml:space="preserve">strategies, plans, and </w:t>
            </w:r>
          </w:p>
          <w:p w14:paraId="203E6F2E"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guidelines (e.g., MMDA action plans, CNAs)</w:t>
            </w:r>
          </w:p>
        </w:tc>
        <w:tc>
          <w:tcPr>
            <w:tcW w:w="3749" w:type="dxa"/>
          </w:tcPr>
          <w:p w14:paraId="163BFCA6"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In consultation with the CO and COR, recommend co-branding or no branding.</w:t>
            </w:r>
          </w:p>
        </w:tc>
        <w:tc>
          <w:tcPr>
            <w:tcW w:w="2792" w:type="dxa"/>
            <w:tcBorders>
              <w:bottom w:val="single" w:sz="4" w:space="0" w:color="000000"/>
              <w:right w:val="nil"/>
            </w:tcBorders>
          </w:tcPr>
          <w:p w14:paraId="165823FB" w14:textId="77777777" w:rsidR="007721F9" w:rsidRPr="006632A3" w:rsidRDefault="007721F9" w:rsidP="00CD5B73">
            <w:pPr>
              <w:pBdr>
                <w:top w:val="nil"/>
                <w:left w:val="nil"/>
                <w:bottom w:val="nil"/>
                <w:right w:val="nil"/>
                <w:between w:val="nil"/>
              </w:pBdr>
              <w:spacing w:before="20" w:after="20"/>
              <w:rPr>
                <w:color w:val="000000"/>
                <w:sz w:val="20"/>
                <w:szCs w:val="20"/>
              </w:rPr>
            </w:pPr>
          </w:p>
        </w:tc>
      </w:tr>
      <w:tr w:rsidR="007721F9" w:rsidRPr="006632A3" w14:paraId="7C96E3EB" w14:textId="77777777" w:rsidTr="00CD5B73">
        <w:trPr>
          <w:cantSplit/>
        </w:trPr>
        <w:tc>
          <w:tcPr>
            <w:tcW w:w="2531" w:type="dxa"/>
            <w:tcBorders>
              <w:left w:val="nil"/>
            </w:tcBorders>
          </w:tcPr>
          <w:p w14:paraId="2E1B52C9"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Training materials and manuals</w:t>
            </w:r>
          </w:p>
        </w:tc>
        <w:tc>
          <w:tcPr>
            <w:tcW w:w="3749" w:type="dxa"/>
          </w:tcPr>
          <w:p w14:paraId="6943A5DC" w14:textId="2C209CC9" w:rsidR="007721F9" w:rsidRPr="006632A3" w:rsidRDefault="00C14E32" w:rsidP="00CD5B73">
            <w:pPr>
              <w:pBdr>
                <w:top w:val="nil"/>
                <w:left w:val="nil"/>
                <w:bottom w:val="nil"/>
                <w:right w:val="nil"/>
                <w:between w:val="nil"/>
              </w:pBdr>
              <w:spacing w:before="20" w:after="20"/>
              <w:rPr>
                <w:color w:val="000000"/>
                <w:sz w:val="20"/>
                <w:szCs w:val="20"/>
              </w:rPr>
            </w:pPr>
            <w:r>
              <w:rPr>
                <w:color w:val="000000"/>
                <w:sz w:val="20"/>
                <w:szCs w:val="20"/>
              </w:rPr>
              <w:t xml:space="preserve">Feed the Future </w:t>
            </w:r>
            <w:r w:rsidR="007B7C9D">
              <w:rPr>
                <w:color w:val="000000"/>
                <w:sz w:val="20"/>
                <w:szCs w:val="20"/>
              </w:rPr>
              <w:t>and</w:t>
            </w:r>
            <w:r>
              <w:rPr>
                <w:color w:val="000000"/>
                <w:sz w:val="20"/>
                <w:szCs w:val="20"/>
              </w:rPr>
              <w:t xml:space="preserve"> </w:t>
            </w:r>
            <w:r w:rsidR="007721F9" w:rsidRPr="006632A3">
              <w:rPr>
                <w:color w:val="000000"/>
                <w:sz w:val="20"/>
                <w:szCs w:val="20"/>
              </w:rPr>
              <w:t>USAID identit</w:t>
            </w:r>
            <w:r w:rsidR="00D22600">
              <w:rPr>
                <w:color w:val="000000"/>
                <w:sz w:val="20"/>
                <w:szCs w:val="20"/>
              </w:rPr>
              <w:t>ies</w:t>
            </w:r>
            <w:r w:rsidR="007721F9" w:rsidRPr="006632A3">
              <w:rPr>
                <w:color w:val="000000"/>
                <w:sz w:val="20"/>
                <w:szCs w:val="20"/>
              </w:rPr>
              <w:t xml:space="preserve"> </w:t>
            </w:r>
            <w:r w:rsidR="00C0560E">
              <w:rPr>
                <w:color w:val="000000"/>
                <w:sz w:val="20"/>
                <w:szCs w:val="20"/>
              </w:rPr>
              <w:t xml:space="preserve">will be </w:t>
            </w:r>
            <w:r w:rsidR="007721F9" w:rsidRPr="006632A3">
              <w:rPr>
                <w:color w:val="000000"/>
                <w:sz w:val="20"/>
                <w:szCs w:val="20"/>
              </w:rPr>
              <w:t xml:space="preserve">printed on the cover of documents; </w:t>
            </w:r>
            <w:r w:rsidR="00C0560E">
              <w:rPr>
                <w:color w:val="000000"/>
                <w:sz w:val="20"/>
                <w:szCs w:val="20"/>
              </w:rPr>
              <w:t xml:space="preserve">the </w:t>
            </w:r>
            <w:r w:rsidR="007721F9" w:rsidRPr="006632A3">
              <w:rPr>
                <w:color w:val="000000"/>
                <w:sz w:val="20"/>
                <w:szCs w:val="20"/>
              </w:rPr>
              <w:t>design follows guidelines for full branding unless co-branding or no branding is approved.</w:t>
            </w:r>
          </w:p>
        </w:tc>
        <w:tc>
          <w:tcPr>
            <w:tcW w:w="2792" w:type="dxa"/>
            <w:tcBorders>
              <w:right w:val="nil"/>
            </w:tcBorders>
          </w:tcPr>
          <w:p w14:paraId="633ED5A4" w14:textId="77777777" w:rsidR="007721F9" w:rsidRPr="006632A3" w:rsidRDefault="007721F9" w:rsidP="00CD5B73">
            <w:pPr>
              <w:pBdr>
                <w:top w:val="nil"/>
                <w:left w:val="nil"/>
                <w:bottom w:val="nil"/>
                <w:right w:val="nil"/>
                <w:between w:val="nil"/>
              </w:pBdr>
              <w:spacing w:before="20" w:after="20"/>
              <w:rPr>
                <w:color w:val="000000"/>
                <w:sz w:val="20"/>
                <w:szCs w:val="20"/>
              </w:rPr>
            </w:pPr>
          </w:p>
        </w:tc>
      </w:tr>
      <w:tr w:rsidR="007721F9" w:rsidRPr="006632A3" w14:paraId="6BF7BDD8" w14:textId="77777777" w:rsidTr="00CD5B73">
        <w:trPr>
          <w:cantSplit/>
        </w:trPr>
        <w:tc>
          <w:tcPr>
            <w:tcW w:w="2531" w:type="dxa"/>
            <w:tcBorders>
              <w:left w:val="nil"/>
            </w:tcBorders>
          </w:tcPr>
          <w:p w14:paraId="43B2AB6D" w14:textId="77777777" w:rsidR="007721F9" w:rsidRPr="006632A3" w:rsidRDefault="007721F9" w:rsidP="00CD5B73">
            <w:pPr>
              <w:pBdr>
                <w:top w:val="nil"/>
                <w:left w:val="nil"/>
                <w:bottom w:val="nil"/>
                <w:right w:val="nil"/>
                <w:between w:val="nil"/>
              </w:pBdr>
              <w:spacing w:before="20" w:after="20"/>
              <w:rPr>
                <w:color w:val="000000" w:themeColor="text1"/>
                <w:sz w:val="20"/>
                <w:szCs w:val="20"/>
              </w:rPr>
            </w:pPr>
            <w:r w:rsidRPr="006632A3">
              <w:rPr>
                <w:color w:val="000000" w:themeColor="text1"/>
                <w:sz w:val="20"/>
                <w:szCs w:val="20"/>
              </w:rPr>
              <w:t>Online portals (e.g., learning offerings)</w:t>
            </w:r>
          </w:p>
        </w:tc>
        <w:tc>
          <w:tcPr>
            <w:tcW w:w="3749" w:type="dxa"/>
          </w:tcPr>
          <w:p w14:paraId="38675495" w14:textId="77777777" w:rsidR="007721F9" w:rsidRPr="006632A3" w:rsidRDefault="007721F9" w:rsidP="00CD5B73">
            <w:pPr>
              <w:pBdr>
                <w:top w:val="nil"/>
                <w:left w:val="nil"/>
                <w:bottom w:val="nil"/>
                <w:right w:val="nil"/>
                <w:between w:val="nil"/>
              </w:pBdr>
              <w:spacing w:before="20" w:after="20"/>
              <w:rPr>
                <w:color w:val="000000" w:themeColor="text1"/>
                <w:sz w:val="20"/>
                <w:szCs w:val="20"/>
              </w:rPr>
            </w:pPr>
            <w:r w:rsidRPr="006632A3">
              <w:rPr>
                <w:color w:val="000000"/>
                <w:sz w:val="20"/>
                <w:szCs w:val="20"/>
              </w:rPr>
              <w:t>Recommend co-branding with the co-sponsors (e.g., GOG ministry, education institution) and the grantee; design follows guidelines for co-branding</w:t>
            </w:r>
          </w:p>
        </w:tc>
        <w:tc>
          <w:tcPr>
            <w:tcW w:w="2792" w:type="dxa"/>
            <w:tcBorders>
              <w:right w:val="nil"/>
            </w:tcBorders>
          </w:tcPr>
          <w:p w14:paraId="6F24A5C1" w14:textId="77777777" w:rsidR="007721F9" w:rsidRPr="006632A3" w:rsidRDefault="007721F9" w:rsidP="00CD5B73">
            <w:pPr>
              <w:pBdr>
                <w:top w:val="nil"/>
                <w:left w:val="nil"/>
                <w:bottom w:val="nil"/>
                <w:right w:val="nil"/>
                <w:between w:val="nil"/>
              </w:pBdr>
              <w:spacing w:before="20" w:after="20"/>
              <w:rPr>
                <w:color w:val="000000"/>
                <w:sz w:val="20"/>
                <w:szCs w:val="20"/>
              </w:rPr>
            </w:pPr>
          </w:p>
        </w:tc>
      </w:tr>
      <w:tr w:rsidR="007721F9" w:rsidRPr="006632A3" w14:paraId="7C0CF7F0" w14:textId="77777777" w:rsidTr="00CD5B73">
        <w:trPr>
          <w:cantSplit/>
        </w:trPr>
        <w:tc>
          <w:tcPr>
            <w:tcW w:w="2531" w:type="dxa"/>
            <w:tcBorders>
              <w:left w:val="nil"/>
            </w:tcBorders>
          </w:tcPr>
          <w:p w14:paraId="1A3AF47E"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CDs/DVDs</w:t>
            </w:r>
          </w:p>
        </w:tc>
        <w:tc>
          <w:tcPr>
            <w:tcW w:w="3749" w:type="dxa"/>
          </w:tcPr>
          <w:p w14:paraId="62C24456" w14:textId="078A0D8B" w:rsidR="007721F9" w:rsidRPr="006632A3" w:rsidRDefault="0044464E" w:rsidP="00CD5B73">
            <w:pPr>
              <w:pBdr>
                <w:top w:val="nil"/>
                <w:left w:val="nil"/>
                <w:bottom w:val="nil"/>
                <w:right w:val="nil"/>
                <w:between w:val="nil"/>
              </w:pBdr>
              <w:spacing w:before="20" w:after="20"/>
              <w:rPr>
                <w:color w:val="000000"/>
                <w:sz w:val="20"/>
                <w:szCs w:val="20"/>
              </w:rPr>
            </w:pPr>
            <w:r>
              <w:rPr>
                <w:color w:val="000000"/>
                <w:sz w:val="20"/>
                <w:szCs w:val="20"/>
              </w:rPr>
              <w:t xml:space="preserve">Feed the Future </w:t>
            </w:r>
            <w:r w:rsidR="009121C4">
              <w:rPr>
                <w:color w:val="000000"/>
                <w:sz w:val="20"/>
                <w:szCs w:val="20"/>
              </w:rPr>
              <w:t>and</w:t>
            </w:r>
            <w:r>
              <w:rPr>
                <w:color w:val="000000"/>
                <w:sz w:val="20"/>
                <w:szCs w:val="20"/>
              </w:rPr>
              <w:t xml:space="preserve"> </w:t>
            </w:r>
            <w:r w:rsidR="007721F9" w:rsidRPr="006632A3">
              <w:rPr>
                <w:color w:val="000000"/>
                <w:sz w:val="20"/>
                <w:szCs w:val="20"/>
              </w:rPr>
              <w:t>USAID identit</w:t>
            </w:r>
            <w:r w:rsidR="00D22600">
              <w:rPr>
                <w:color w:val="000000"/>
                <w:sz w:val="20"/>
                <w:szCs w:val="20"/>
              </w:rPr>
              <w:t>ies</w:t>
            </w:r>
            <w:r w:rsidR="00A35606">
              <w:rPr>
                <w:color w:val="000000"/>
                <w:sz w:val="20"/>
                <w:szCs w:val="20"/>
              </w:rPr>
              <w:t xml:space="preserve"> will be</w:t>
            </w:r>
            <w:r w:rsidR="007721F9" w:rsidRPr="006632A3">
              <w:rPr>
                <w:color w:val="000000"/>
                <w:sz w:val="20"/>
                <w:szCs w:val="20"/>
              </w:rPr>
              <w:t xml:space="preserve"> printed on the cover of documents; </w:t>
            </w:r>
            <w:r w:rsidR="00A35606">
              <w:rPr>
                <w:color w:val="000000"/>
                <w:sz w:val="20"/>
                <w:szCs w:val="20"/>
              </w:rPr>
              <w:t xml:space="preserve">the </w:t>
            </w:r>
            <w:r w:rsidR="007721F9" w:rsidRPr="006632A3">
              <w:rPr>
                <w:color w:val="000000"/>
                <w:sz w:val="20"/>
                <w:szCs w:val="20"/>
              </w:rPr>
              <w:t>design follows guidelines for full branding unless co-branding or no branding is approved.</w:t>
            </w:r>
          </w:p>
        </w:tc>
        <w:tc>
          <w:tcPr>
            <w:tcW w:w="2792" w:type="dxa"/>
            <w:tcBorders>
              <w:right w:val="nil"/>
            </w:tcBorders>
          </w:tcPr>
          <w:p w14:paraId="51C48AC8" w14:textId="77777777" w:rsidR="007721F9" w:rsidRPr="006632A3" w:rsidRDefault="007721F9" w:rsidP="00CD5B73">
            <w:pPr>
              <w:pBdr>
                <w:top w:val="nil"/>
                <w:left w:val="nil"/>
                <w:bottom w:val="nil"/>
                <w:right w:val="nil"/>
                <w:between w:val="nil"/>
              </w:pBdr>
              <w:spacing w:before="20" w:after="20"/>
              <w:rPr>
                <w:color w:val="000000"/>
                <w:sz w:val="20"/>
                <w:szCs w:val="20"/>
              </w:rPr>
            </w:pPr>
          </w:p>
        </w:tc>
      </w:tr>
      <w:tr w:rsidR="007721F9" w:rsidRPr="006632A3" w14:paraId="058DB65D" w14:textId="77777777" w:rsidTr="00CD5B73">
        <w:trPr>
          <w:cantSplit/>
        </w:trPr>
        <w:tc>
          <w:tcPr>
            <w:tcW w:w="2531" w:type="dxa"/>
            <w:tcBorders>
              <w:left w:val="nil"/>
            </w:tcBorders>
          </w:tcPr>
          <w:p w14:paraId="1890B7DD"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PowerPoint presentations</w:t>
            </w:r>
          </w:p>
        </w:tc>
        <w:tc>
          <w:tcPr>
            <w:tcW w:w="3749" w:type="dxa"/>
          </w:tcPr>
          <w:p w14:paraId="02EA4E90" w14:textId="038ACEF2" w:rsidR="007721F9" w:rsidRPr="006632A3" w:rsidRDefault="0019091C" w:rsidP="00CD5B73">
            <w:pPr>
              <w:pBdr>
                <w:top w:val="nil"/>
                <w:left w:val="nil"/>
                <w:bottom w:val="nil"/>
                <w:right w:val="nil"/>
                <w:between w:val="nil"/>
              </w:pBdr>
              <w:spacing w:before="20" w:after="20"/>
              <w:rPr>
                <w:color w:val="000000"/>
                <w:sz w:val="20"/>
                <w:szCs w:val="20"/>
              </w:rPr>
            </w:pPr>
            <w:r>
              <w:rPr>
                <w:color w:val="000000"/>
                <w:sz w:val="20"/>
                <w:szCs w:val="20"/>
              </w:rPr>
              <w:t xml:space="preserve">Feed the Future </w:t>
            </w:r>
            <w:r w:rsidR="009121C4">
              <w:rPr>
                <w:color w:val="000000"/>
                <w:sz w:val="20"/>
                <w:szCs w:val="20"/>
              </w:rPr>
              <w:t>and</w:t>
            </w:r>
            <w:r>
              <w:rPr>
                <w:color w:val="000000"/>
                <w:sz w:val="20"/>
                <w:szCs w:val="20"/>
              </w:rPr>
              <w:t xml:space="preserve"> </w:t>
            </w:r>
            <w:r w:rsidR="007721F9" w:rsidRPr="006632A3">
              <w:rPr>
                <w:color w:val="000000"/>
                <w:sz w:val="20"/>
                <w:szCs w:val="20"/>
              </w:rPr>
              <w:t>USAID identit</w:t>
            </w:r>
            <w:r w:rsidR="00D22600">
              <w:rPr>
                <w:color w:val="000000"/>
                <w:sz w:val="20"/>
                <w:szCs w:val="20"/>
              </w:rPr>
              <w:t>ies</w:t>
            </w:r>
            <w:r w:rsidR="007721F9" w:rsidRPr="006632A3">
              <w:rPr>
                <w:color w:val="000000"/>
                <w:sz w:val="20"/>
                <w:szCs w:val="20"/>
              </w:rPr>
              <w:t xml:space="preserve"> on title breaker slides; design follows guidelines for full branding unless co-branding or no branding is approved.</w:t>
            </w:r>
          </w:p>
        </w:tc>
        <w:tc>
          <w:tcPr>
            <w:tcW w:w="2792" w:type="dxa"/>
            <w:tcBorders>
              <w:right w:val="nil"/>
            </w:tcBorders>
          </w:tcPr>
          <w:p w14:paraId="71D4A368" w14:textId="77777777" w:rsidR="007721F9" w:rsidRPr="006632A3" w:rsidRDefault="007721F9" w:rsidP="00CD5B73">
            <w:pPr>
              <w:pBdr>
                <w:top w:val="nil"/>
                <w:left w:val="nil"/>
                <w:bottom w:val="nil"/>
                <w:right w:val="nil"/>
                <w:between w:val="nil"/>
              </w:pBdr>
              <w:spacing w:before="20" w:after="20"/>
              <w:rPr>
                <w:color w:val="000000"/>
                <w:sz w:val="20"/>
                <w:szCs w:val="20"/>
              </w:rPr>
            </w:pPr>
          </w:p>
        </w:tc>
      </w:tr>
      <w:tr w:rsidR="007721F9" w:rsidRPr="006632A3" w14:paraId="16D8293F" w14:textId="77777777" w:rsidTr="00CD5B73">
        <w:trPr>
          <w:cantSplit/>
        </w:trPr>
        <w:tc>
          <w:tcPr>
            <w:tcW w:w="2531" w:type="dxa"/>
            <w:tcBorders>
              <w:left w:val="nil"/>
            </w:tcBorders>
          </w:tcPr>
          <w:p w14:paraId="2899AF48"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Conference posters and presentations</w:t>
            </w:r>
          </w:p>
        </w:tc>
        <w:tc>
          <w:tcPr>
            <w:tcW w:w="3749" w:type="dxa"/>
          </w:tcPr>
          <w:p w14:paraId="2AE6180D" w14:textId="134D6084" w:rsidR="007721F9" w:rsidRPr="006632A3" w:rsidRDefault="005F4CA4" w:rsidP="00CD5B73">
            <w:pPr>
              <w:pBdr>
                <w:top w:val="nil"/>
                <w:left w:val="nil"/>
                <w:bottom w:val="nil"/>
                <w:right w:val="nil"/>
                <w:between w:val="nil"/>
              </w:pBdr>
              <w:spacing w:before="20" w:after="20"/>
              <w:rPr>
                <w:color w:val="000000"/>
                <w:sz w:val="20"/>
                <w:szCs w:val="20"/>
              </w:rPr>
            </w:pPr>
            <w:r>
              <w:rPr>
                <w:color w:val="000000"/>
                <w:sz w:val="20"/>
                <w:szCs w:val="20"/>
              </w:rPr>
              <w:t xml:space="preserve">Feed the Future </w:t>
            </w:r>
            <w:r w:rsidR="009121C4">
              <w:rPr>
                <w:color w:val="000000"/>
                <w:sz w:val="20"/>
                <w:szCs w:val="20"/>
              </w:rPr>
              <w:t>and</w:t>
            </w:r>
            <w:r>
              <w:rPr>
                <w:color w:val="000000"/>
                <w:sz w:val="20"/>
                <w:szCs w:val="20"/>
              </w:rPr>
              <w:t xml:space="preserve"> </w:t>
            </w:r>
            <w:r w:rsidR="007721F9" w:rsidRPr="006632A3">
              <w:rPr>
                <w:color w:val="000000"/>
                <w:sz w:val="20"/>
                <w:szCs w:val="20"/>
              </w:rPr>
              <w:t>USAID identit</w:t>
            </w:r>
            <w:r w:rsidR="00D22600">
              <w:rPr>
                <w:color w:val="000000"/>
                <w:sz w:val="20"/>
                <w:szCs w:val="20"/>
              </w:rPr>
              <w:t>ies</w:t>
            </w:r>
            <w:r w:rsidR="00CA13C8">
              <w:rPr>
                <w:color w:val="000000"/>
                <w:sz w:val="20"/>
                <w:szCs w:val="20"/>
              </w:rPr>
              <w:t xml:space="preserve"> will be</w:t>
            </w:r>
            <w:r w:rsidR="007721F9" w:rsidRPr="006632A3">
              <w:rPr>
                <w:color w:val="000000"/>
                <w:sz w:val="20"/>
                <w:szCs w:val="20"/>
              </w:rPr>
              <w:t xml:space="preserve"> printed on the poster or presentation; </w:t>
            </w:r>
            <w:r w:rsidR="00CA13C8">
              <w:rPr>
                <w:color w:val="000000"/>
                <w:sz w:val="20"/>
                <w:szCs w:val="20"/>
              </w:rPr>
              <w:t xml:space="preserve">the </w:t>
            </w:r>
            <w:r w:rsidR="007721F9" w:rsidRPr="006632A3">
              <w:rPr>
                <w:color w:val="000000"/>
                <w:sz w:val="20"/>
                <w:szCs w:val="20"/>
              </w:rPr>
              <w:t>design follows guidelines for full branding unless co-branding or no branding is approved.</w:t>
            </w:r>
          </w:p>
        </w:tc>
        <w:tc>
          <w:tcPr>
            <w:tcW w:w="2792" w:type="dxa"/>
            <w:tcBorders>
              <w:right w:val="nil"/>
            </w:tcBorders>
          </w:tcPr>
          <w:p w14:paraId="58357BB8" w14:textId="77777777" w:rsidR="007721F9" w:rsidRPr="006632A3" w:rsidRDefault="007721F9" w:rsidP="00CD5B73">
            <w:pPr>
              <w:pBdr>
                <w:top w:val="nil"/>
                <w:left w:val="nil"/>
                <w:bottom w:val="nil"/>
                <w:right w:val="nil"/>
                <w:between w:val="nil"/>
              </w:pBdr>
              <w:spacing w:before="20" w:after="20"/>
              <w:rPr>
                <w:color w:val="000000"/>
                <w:sz w:val="20"/>
                <w:szCs w:val="20"/>
              </w:rPr>
            </w:pPr>
          </w:p>
        </w:tc>
      </w:tr>
      <w:tr w:rsidR="007721F9" w:rsidRPr="006632A3" w14:paraId="1F04571A" w14:textId="77777777" w:rsidTr="00CD5B73">
        <w:trPr>
          <w:cantSplit/>
        </w:trPr>
        <w:tc>
          <w:tcPr>
            <w:tcW w:w="2531" w:type="dxa"/>
            <w:tcBorders>
              <w:left w:val="nil"/>
              <w:bottom w:val="single" w:sz="12" w:space="0" w:color="000000"/>
            </w:tcBorders>
          </w:tcPr>
          <w:p w14:paraId="7DB322D6"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lastRenderedPageBreak/>
              <w:t>Videos</w:t>
            </w:r>
          </w:p>
        </w:tc>
        <w:tc>
          <w:tcPr>
            <w:tcW w:w="3749" w:type="dxa"/>
            <w:tcBorders>
              <w:bottom w:val="single" w:sz="12" w:space="0" w:color="000000"/>
            </w:tcBorders>
          </w:tcPr>
          <w:p w14:paraId="5C4C5A7C"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Design follows guidelines for full branding unless co-branding is approved.</w:t>
            </w:r>
          </w:p>
        </w:tc>
        <w:tc>
          <w:tcPr>
            <w:tcW w:w="2792" w:type="dxa"/>
            <w:tcBorders>
              <w:bottom w:val="single" w:sz="12" w:space="0" w:color="000000"/>
              <w:right w:val="nil"/>
            </w:tcBorders>
          </w:tcPr>
          <w:p w14:paraId="783832DE" w14:textId="7F2C70DB" w:rsidR="007721F9" w:rsidRPr="006632A3" w:rsidRDefault="00002E26" w:rsidP="0026399C">
            <w:pPr>
              <w:pBdr>
                <w:top w:val="nil"/>
                <w:left w:val="nil"/>
                <w:bottom w:val="nil"/>
                <w:right w:val="nil"/>
                <w:between w:val="nil"/>
              </w:pBdr>
              <w:spacing w:before="20" w:after="20"/>
              <w:rPr>
                <w:color w:val="000000"/>
                <w:sz w:val="20"/>
                <w:szCs w:val="20"/>
              </w:rPr>
            </w:pPr>
            <w:r w:rsidRPr="003E59C2">
              <w:rPr>
                <w:color w:val="000000"/>
                <w:sz w:val="20"/>
                <w:szCs w:val="20"/>
              </w:rPr>
              <w:t>T</w:t>
            </w:r>
            <w:r w:rsidR="0026399C" w:rsidRPr="003E59C2">
              <w:rPr>
                <w:color w:val="000000"/>
                <w:sz w:val="20"/>
                <w:szCs w:val="20"/>
              </w:rPr>
              <w:t>he USAID logo</w:t>
            </w:r>
            <w:r w:rsidRPr="003E59C2">
              <w:rPr>
                <w:color w:val="000000"/>
                <w:sz w:val="20"/>
                <w:szCs w:val="20"/>
              </w:rPr>
              <w:t xml:space="preserve"> will be placed</w:t>
            </w:r>
            <w:r w:rsidR="0026399C" w:rsidRPr="003E59C2">
              <w:rPr>
                <w:color w:val="000000"/>
                <w:sz w:val="20"/>
                <w:szCs w:val="20"/>
              </w:rPr>
              <w:t xml:space="preserve"> below the Feed the Future logo. Logos only need to be included on the introductory and closing frames—not throughout. The Feed the Future URL (feedthefuture.gov) should be included in the closing frame of any video</w:t>
            </w:r>
          </w:p>
        </w:tc>
      </w:tr>
      <w:tr w:rsidR="007721F9" w:rsidRPr="006632A3" w14:paraId="453A751C" w14:textId="77777777" w:rsidTr="00CD5B73">
        <w:trPr>
          <w:cantSplit/>
          <w:tblHeader/>
        </w:trPr>
        <w:tc>
          <w:tcPr>
            <w:tcW w:w="2531" w:type="dxa"/>
            <w:tcBorders>
              <w:top w:val="nil"/>
              <w:left w:val="nil"/>
              <w:bottom w:val="single" w:sz="12" w:space="0" w:color="2F7D93"/>
              <w:right w:val="nil"/>
            </w:tcBorders>
            <w:shd w:val="clear" w:color="auto" w:fill="2F7D93"/>
            <w:vAlign w:val="center"/>
          </w:tcPr>
          <w:p w14:paraId="048E3C04" w14:textId="77777777" w:rsidR="007721F9" w:rsidRPr="006632A3" w:rsidRDefault="007721F9" w:rsidP="00CD5B73">
            <w:pPr>
              <w:keepNext/>
              <w:pBdr>
                <w:top w:val="nil"/>
                <w:left w:val="nil"/>
                <w:bottom w:val="nil"/>
                <w:right w:val="nil"/>
                <w:between w:val="nil"/>
              </w:pBdr>
              <w:spacing w:before="20" w:after="20"/>
              <w:rPr>
                <w:b/>
                <w:color w:val="FFFFFF"/>
                <w:sz w:val="20"/>
                <w:szCs w:val="20"/>
              </w:rPr>
            </w:pPr>
            <w:r w:rsidRPr="006632A3">
              <w:br w:type="page"/>
            </w:r>
            <w:r w:rsidRPr="006632A3">
              <w:rPr>
                <w:b/>
                <w:color w:val="FFFFFF"/>
                <w:sz w:val="20"/>
                <w:szCs w:val="20"/>
              </w:rPr>
              <w:t>Category</w:t>
            </w:r>
          </w:p>
        </w:tc>
        <w:tc>
          <w:tcPr>
            <w:tcW w:w="3749" w:type="dxa"/>
            <w:tcBorders>
              <w:top w:val="nil"/>
              <w:left w:val="nil"/>
              <w:bottom w:val="single" w:sz="12" w:space="0" w:color="2F7D93"/>
              <w:right w:val="nil"/>
            </w:tcBorders>
            <w:shd w:val="clear" w:color="auto" w:fill="2F7D93"/>
            <w:vAlign w:val="center"/>
          </w:tcPr>
          <w:p w14:paraId="5FA12870" w14:textId="77777777" w:rsidR="007721F9" w:rsidRPr="006632A3" w:rsidRDefault="007721F9" w:rsidP="00CD5B73">
            <w:pPr>
              <w:keepNext/>
              <w:pBdr>
                <w:top w:val="nil"/>
                <w:left w:val="nil"/>
                <w:bottom w:val="nil"/>
                <w:right w:val="nil"/>
                <w:between w:val="nil"/>
              </w:pBdr>
              <w:spacing w:before="20" w:after="20"/>
              <w:rPr>
                <w:b/>
                <w:color w:val="FFFFFF"/>
                <w:sz w:val="20"/>
                <w:szCs w:val="20"/>
              </w:rPr>
            </w:pPr>
            <w:r w:rsidRPr="006632A3">
              <w:rPr>
                <w:b/>
                <w:color w:val="FFFFFF"/>
                <w:sz w:val="20"/>
                <w:szCs w:val="20"/>
              </w:rPr>
              <w:t>Type of Marking</w:t>
            </w:r>
          </w:p>
        </w:tc>
        <w:tc>
          <w:tcPr>
            <w:tcW w:w="2792" w:type="dxa"/>
            <w:tcBorders>
              <w:top w:val="nil"/>
              <w:left w:val="nil"/>
              <w:bottom w:val="single" w:sz="12" w:space="0" w:color="2F7D93"/>
              <w:right w:val="nil"/>
            </w:tcBorders>
            <w:shd w:val="clear" w:color="auto" w:fill="2F7D93"/>
            <w:vAlign w:val="center"/>
          </w:tcPr>
          <w:p w14:paraId="4499395D" w14:textId="77777777" w:rsidR="007721F9" w:rsidRPr="006632A3" w:rsidRDefault="007721F9" w:rsidP="00CD5B73">
            <w:pPr>
              <w:keepNext/>
              <w:pBdr>
                <w:top w:val="nil"/>
                <w:left w:val="nil"/>
                <w:bottom w:val="nil"/>
                <w:right w:val="nil"/>
                <w:between w:val="nil"/>
              </w:pBdr>
              <w:spacing w:before="20" w:after="20"/>
              <w:rPr>
                <w:b/>
                <w:color w:val="FFFFFF"/>
                <w:sz w:val="20"/>
                <w:szCs w:val="20"/>
              </w:rPr>
            </w:pPr>
            <w:r w:rsidRPr="006632A3">
              <w:rPr>
                <w:b/>
                <w:color w:val="FFFFFF"/>
                <w:sz w:val="20"/>
                <w:szCs w:val="20"/>
              </w:rPr>
              <w:t>Remarks</w:t>
            </w:r>
          </w:p>
        </w:tc>
      </w:tr>
      <w:tr w:rsidR="007721F9" w:rsidRPr="006632A3" w14:paraId="0842F735" w14:textId="77777777" w:rsidTr="00CD5B73">
        <w:trPr>
          <w:cantSplit/>
        </w:trPr>
        <w:tc>
          <w:tcPr>
            <w:tcW w:w="2531" w:type="dxa"/>
            <w:tcBorders>
              <w:top w:val="single" w:sz="12" w:space="0" w:color="000000"/>
              <w:left w:val="nil"/>
              <w:bottom w:val="single" w:sz="12" w:space="0" w:color="000000"/>
              <w:right w:val="nil"/>
            </w:tcBorders>
            <w:shd w:val="clear" w:color="auto" w:fill="C3C2C3"/>
          </w:tcPr>
          <w:p w14:paraId="6EAB8238" w14:textId="77777777" w:rsidR="007721F9" w:rsidRPr="006632A3" w:rsidRDefault="007721F9" w:rsidP="00CD5B73">
            <w:pPr>
              <w:pBdr>
                <w:top w:val="nil"/>
                <w:left w:val="nil"/>
                <w:bottom w:val="nil"/>
                <w:right w:val="nil"/>
                <w:between w:val="nil"/>
              </w:pBdr>
              <w:spacing w:before="20" w:after="20"/>
              <w:rPr>
                <w:b/>
                <w:i/>
                <w:color w:val="000000"/>
                <w:sz w:val="20"/>
                <w:szCs w:val="20"/>
              </w:rPr>
            </w:pPr>
            <w:r w:rsidRPr="006632A3">
              <w:rPr>
                <w:b/>
                <w:i/>
                <w:color w:val="000000"/>
                <w:sz w:val="20"/>
                <w:szCs w:val="20"/>
              </w:rPr>
              <w:t>Promotional</w:t>
            </w:r>
          </w:p>
        </w:tc>
        <w:tc>
          <w:tcPr>
            <w:tcW w:w="3749" w:type="dxa"/>
            <w:tcBorders>
              <w:top w:val="single" w:sz="12" w:space="0" w:color="000000"/>
              <w:left w:val="nil"/>
              <w:bottom w:val="single" w:sz="12" w:space="0" w:color="000000"/>
              <w:right w:val="nil"/>
            </w:tcBorders>
            <w:shd w:val="clear" w:color="auto" w:fill="C3C2C3"/>
          </w:tcPr>
          <w:p w14:paraId="44AF9062" w14:textId="77777777" w:rsidR="007721F9" w:rsidRPr="006632A3" w:rsidRDefault="007721F9" w:rsidP="00CD5B73">
            <w:pPr>
              <w:pBdr>
                <w:top w:val="nil"/>
                <w:left w:val="nil"/>
                <w:bottom w:val="nil"/>
                <w:right w:val="nil"/>
                <w:between w:val="nil"/>
              </w:pBdr>
              <w:spacing w:before="20" w:after="20"/>
              <w:rPr>
                <w:i/>
                <w:color w:val="000000"/>
                <w:sz w:val="20"/>
                <w:szCs w:val="20"/>
              </w:rPr>
            </w:pPr>
          </w:p>
        </w:tc>
        <w:tc>
          <w:tcPr>
            <w:tcW w:w="2792" w:type="dxa"/>
            <w:tcBorders>
              <w:top w:val="single" w:sz="12" w:space="0" w:color="000000"/>
              <w:left w:val="nil"/>
              <w:bottom w:val="single" w:sz="12" w:space="0" w:color="000000"/>
              <w:right w:val="nil"/>
            </w:tcBorders>
            <w:shd w:val="clear" w:color="auto" w:fill="C3C2C3"/>
          </w:tcPr>
          <w:p w14:paraId="1E42EB20" w14:textId="77777777" w:rsidR="007721F9" w:rsidRPr="006632A3" w:rsidRDefault="007721F9" w:rsidP="00CD5B73">
            <w:pPr>
              <w:pBdr>
                <w:top w:val="nil"/>
                <w:left w:val="nil"/>
                <w:bottom w:val="nil"/>
                <w:right w:val="nil"/>
                <w:between w:val="nil"/>
              </w:pBdr>
              <w:spacing w:before="20" w:after="20"/>
              <w:rPr>
                <w:i/>
                <w:color w:val="000000"/>
                <w:sz w:val="20"/>
                <w:szCs w:val="20"/>
              </w:rPr>
            </w:pPr>
          </w:p>
        </w:tc>
      </w:tr>
      <w:tr w:rsidR="007721F9" w:rsidRPr="006632A3" w14:paraId="3301EC8A" w14:textId="77777777" w:rsidTr="00CD5B73">
        <w:trPr>
          <w:cantSplit/>
        </w:trPr>
        <w:tc>
          <w:tcPr>
            <w:tcW w:w="2531" w:type="dxa"/>
            <w:tcBorders>
              <w:top w:val="single" w:sz="12" w:space="0" w:color="000000"/>
              <w:left w:val="nil"/>
              <w:bottom w:val="single" w:sz="4" w:space="0" w:color="000000"/>
            </w:tcBorders>
          </w:tcPr>
          <w:p w14:paraId="0C1251CC"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Event signs, banners, and exhibition booths materials</w:t>
            </w:r>
          </w:p>
        </w:tc>
        <w:tc>
          <w:tcPr>
            <w:tcW w:w="3749" w:type="dxa"/>
            <w:tcBorders>
              <w:top w:val="single" w:sz="12" w:space="0" w:color="000000"/>
            </w:tcBorders>
          </w:tcPr>
          <w:p w14:paraId="35D8B2A9" w14:textId="723177E8" w:rsidR="007721F9" w:rsidRPr="006632A3" w:rsidRDefault="004815D4" w:rsidP="00CD5B73">
            <w:pPr>
              <w:pBdr>
                <w:top w:val="nil"/>
                <w:left w:val="nil"/>
                <w:bottom w:val="nil"/>
                <w:right w:val="nil"/>
                <w:between w:val="nil"/>
              </w:pBdr>
              <w:spacing w:before="20" w:after="20"/>
              <w:rPr>
                <w:color w:val="000000"/>
                <w:sz w:val="20"/>
                <w:szCs w:val="20"/>
              </w:rPr>
            </w:pPr>
            <w:r>
              <w:rPr>
                <w:color w:val="000000"/>
                <w:sz w:val="20"/>
                <w:szCs w:val="20"/>
              </w:rPr>
              <w:t>Feed the Fu</w:t>
            </w:r>
            <w:r w:rsidR="00281E9F">
              <w:rPr>
                <w:color w:val="000000"/>
                <w:sz w:val="20"/>
                <w:szCs w:val="20"/>
              </w:rPr>
              <w:t xml:space="preserve">ture </w:t>
            </w:r>
            <w:r w:rsidR="00EF2F68">
              <w:rPr>
                <w:color w:val="000000"/>
                <w:sz w:val="20"/>
                <w:szCs w:val="20"/>
              </w:rPr>
              <w:t>and</w:t>
            </w:r>
            <w:r w:rsidR="00281E9F">
              <w:rPr>
                <w:color w:val="000000"/>
                <w:sz w:val="20"/>
                <w:szCs w:val="20"/>
              </w:rPr>
              <w:t xml:space="preserve"> </w:t>
            </w:r>
            <w:r w:rsidR="007721F9" w:rsidRPr="006632A3">
              <w:rPr>
                <w:color w:val="000000"/>
                <w:sz w:val="20"/>
                <w:szCs w:val="20"/>
              </w:rPr>
              <w:t>USAID identit</w:t>
            </w:r>
            <w:r w:rsidR="00D22600">
              <w:rPr>
                <w:color w:val="000000"/>
                <w:sz w:val="20"/>
                <w:szCs w:val="20"/>
              </w:rPr>
              <w:t>ies</w:t>
            </w:r>
            <w:r w:rsidR="007721F9" w:rsidRPr="006632A3">
              <w:rPr>
                <w:color w:val="000000"/>
                <w:sz w:val="20"/>
                <w:szCs w:val="20"/>
              </w:rPr>
              <w:t xml:space="preserve"> </w:t>
            </w:r>
            <w:r w:rsidR="00FA26A9">
              <w:rPr>
                <w:color w:val="000000"/>
                <w:sz w:val="20"/>
                <w:szCs w:val="20"/>
              </w:rPr>
              <w:t xml:space="preserve">will be </w:t>
            </w:r>
            <w:r w:rsidR="007721F9" w:rsidRPr="006632A3">
              <w:rPr>
                <w:color w:val="000000"/>
                <w:sz w:val="20"/>
                <w:szCs w:val="20"/>
              </w:rPr>
              <w:t xml:space="preserve">printed on the materials; </w:t>
            </w:r>
            <w:r w:rsidR="00FA26A9">
              <w:rPr>
                <w:color w:val="000000"/>
                <w:sz w:val="20"/>
                <w:szCs w:val="20"/>
              </w:rPr>
              <w:t xml:space="preserve">the </w:t>
            </w:r>
            <w:r w:rsidR="007721F9" w:rsidRPr="006632A3">
              <w:rPr>
                <w:color w:val="000000"/>
                <w:sz w:val="20"/>
                <w:szCs w:val="20"/>
              </w:rPr>
              <w:t xml:space="preserve">design follows guidelines for full branding unless co-branding is approved. </w:t>
            </w:r>
          </w:p>
        </w:tc>
        <w:tc>
          <w:tcPr>
            <w:tcW w:w="2792" w:type="dxa"/>
            <w:tcBorders>
              <w:top w:val="single" w:sz="12" w:space="0" w:color="000000"/>
              <w:bottom w:val="single" w:sz="4" w:space="0" w:color="000000"/>
              <w:right w:val="nil"/>
            </w:tcBorders>
          </w:tcPr>
          <w:p w14:paraId="554AD609" w14:textId="77777777" w:rsidR="007721F9" w:rsidRPr="006632A3" w:rsidRDefault="007721F9" w:rsidP="00CD5B73">
            <w:pPr>
              <w:pBdr>
                <w:top w:val="nil"/>
                <w:left w:val="nil"/>
                <w:bottom w:val="nil"/>
                <w:right w:val="nil"/>
                <w:between w:val="nil"/>
              </w:pBdr>
              <w:spacing w:before="20" w:after="20"/>
              <w:rPr>
                <w:color w:val="000000"/>
                <w:sz w:val="20"/>
                <w:szCs w:val="20"/>
              </w:rPr>
            </w:pPr>
          </w:p>
        </w:tc>
      </w:tr>
      <w:tr w:rsidR="007721F9" w:rsidRPr="006632A3" w14:paraId="4A191920" w14:textId="77777777" w:rsidTr="00CD5B73">
        <w:trPr>
          <w:cantSplit/>
        </w:trPr>
        <w:tc>
          <w:tcPr>
            <w:tcW w:w="2531" w:type="dxa"/>
            <w:tcBorders>
              <w:left w:val="nil"/>
            </w:tcBorders>
          </w:tcPr>
          <w:p w14:paraId="6BDC38BB"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 xml:space="preserve">Success stories, beneficiary testimonials, announcements of research or results </w:t>
            </w:r>
          </w:p>
        </w:tc>
        <w:tc>
          <w:tcPr>
            <w:tcW w:w="3749" w:type="dxa"/>
          </w:tcPr>
          <w:p w14:paraId="7A794C86" w14:textId="2599BB19" w:rsidR="007721F9" w:rsidRPr="006632A3" w:rsidRDefault="00B25CED" w:rsidP="00CD5B73">
            <w:pPr>
              <w:pBdr>
                <w:top w:val="nil"/>
                <w:left w:val="nil"/>
                <w:bottom w:val="nil"/>
                <w:right w:val="nil"/>
                <w:between w:val="nil"/>
              </w:pBdr>
              <w:spacing w:before="20" w:after="20"/>
              <w:rPr>
                <w:color w:val="000000"/>
                <w:sz w:val="20"/>
                <w:szCs w:val="20"/>
              </w:rPr>
            </w:pPr>
            <w:r>
              <w:rPr>
                <w:color w:val="000000"/>
                <w:sz w:val="20"/>
                <w:szCs w:val="20"/>
              </w:rPr>
              <w:t xml:space="preserve">Feed the Future </w:t>
            </w:r>
            <w:r w:rsidR="00EF2F68">
              <w:rPr>
                <w:color w:val="000000"/>
                <w:sz w:val="20"/>
                <w:szCs w:val="20"/>
              </w:rPr>
              <w:t>and</w:t>
            </w:r>
            <w:r>
              <w:rPr>
                <w:color w:val="000000"/>
                <w:sz w:val="20"/>
                <w:szCs w:val="20"/>
              </w:rPr>
              <w:t xml:space="preserve"> </w:t>
            </w:r>
            <w:r w:rsidR="007721F9" w:rsidRPr="006632A3">
              <w:rPr>
                <w:color w:val="000000"/>
                <w:sz w:val="20"/>
                <w:szCs w:val="20"/>
              </w:rPr>
              <w:t>USAID identit</w:t>
            </w:r>
            <w:r w:rsidR="00290B20">
              <w:rPr>
                <w:color w:val="000000"/>
                <w:sz w:val="20"/>
                <w:szCs w:val="20"/>
              </w:rPr>
              <w:t>ies</w:t>
            </w:r>
            <w:r w:rsidR="007721F9" w:rsidRPr="006632A3">
              <w:rPr>
                <w:color w:val="000000"/>
                <w:sz w:val="20"/>
                <w:szCs w:val="20"/>
              </w:rPr>
              <w:t xml:space="preserve"> </w:t>
            </w:r>
            <w:r w:rsidR="00FA26A9">
              <w:rPr>
                <w:color w:val="000000"/>
                <w:sz w:val="20"/>
                <w:szCs w:val="20"/>
              </w:rPr>
              <w:t xml:space="preserve">will be </w:t>
            </w:r>
            <w:r w:rsidR="007721F9" w:rsidRPr="006632A3">
              <w:rPr>
                <w:color w:val="000000"/>
                <w:sz w:val="20"/>
                <w:szCs w:val="20"/>
              </w:rPr>
              <w:t xml:space="preserve">printed on the materials; </w:t>
            </w:r>
            <w:r w:rsidR="00FA26A9">
              <w:rPr>
                <w:color w:val="000000"/>
                <w:sz w:val="20"/>
                <w:szCs w:val="20"/>
              </w:rPr>
              <w:t xml:space="preserve">the </w:t>
            </w:r>
            <w:r w:rsidR="007721F9" w:rsidRPr="006632A3">
              <w:rPr>
                <w:color w:val="000000"/>
                <w:sz w:val="20"/>
                <w:szCs w:val="20"/>
              </w:rPr>
              <w:t xml:space="preserve">design follows guidelines for full branding. </w:t>
            </w:r>
          </w:p>
        </w:tc>
        <w:tc>
          <w:tcPr>
            <w:tcW w:w="2792" w:type="dxa"/>
            <w:tcBorders>
              <w:right w:val="nil"/>
            </w:tcBorders>
          </w:tcPr>
          <w:p w14:paraId="1A79B4C8" w14:textId="77777777" w:rsidR="007721F9" w:rsidRPr="006632A3" w:rsidRDefault="007721F9" w:rsidP="00CD5B73">
            <w:pPr>
              <w:pBdr>
                <w:top w:val="nil"/>
                <w:left w:val="nil"/>
                <w:bottom w:val="nil"/>
                <w:right w:val="nil"/>
                <w:between w:val="nil"/>
              </w:pBdr>
              <w:spacing w:before="20" w:after="20"/>
              <w:rPr>
                <w:color w:val="000000"/>
                <w:sz w:val="20"/>
                <w:szCs w:val="20"/>
              </w:rPr>
            </w:pPr>
          </w:p>
        </w:tc>
      </w:tr>
      <w:tr w:rsidR="007721F9" w:rsidRPr="006632A3" w14:paraId="14ED1CBD" w14:textId="77777777" w:rsidTr="00CD5B73">
        <w:trPr>
          <w:cantSplit/>
        </w:trPr>
        <w:tc>
          <w:tcPr>
            <w:tcW w:w="2531" w:type="dxa"/>
            <w:tcBorders>
              <w:left w:val="nil"/>
            </w:tcBorders>
          </w:tcPr>
          <w:p w14:paraId="3FE5AA81"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Social media content/toolkits</w:t>
            </w:r>
          </w:p>
        </w:tc>
        <w:tc>
          <w:tcPr>
            <w:tcW w:w="3749" w:type="dxa"/>
          </w:tcPr>
          <w:p w14:paraId="68CAF472"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Design of image cards or other assets will follow guidelines for full branding unless co-branding is approved.</w:t>
            </w:r>
          </w:p>
        </w:tc>
        <w:tc>
          <w:tcPr>
            <w:tcW w:w="2792" w:type="dxa"/>
            <w:tcBorders>
              <w:right w:val="nil"/>
            </w:tcBorders>
          </w:tcPr>
          <w:p w14:paraId="4D10B498"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Social media will serve a programmatic purpose and not be used to promote a program or contractor. The Contractor does not intend to create social media channel for the activity.</w:t>
            </w:r>
          </w:p>
        </w:tc>
      </w:tr>
      <w:tr w:rsidR="007721F9" w:rsidRPr="006632A3" w14:paraId="52C8518C" w14:textId="77777777" w:rsidTr="00CD5B73">
        <w:trPr>
          <w:cantSplit/>
        </w:trPr>
        <w:tc>
          <w:tcPr>
            <w:tcW w:w="2531" w:type="dxa"/>
            <w:tcBorders>
              <w:left w:val="nil"/>
              <w:bottom w:val="single" w:sz="12" w:space="0" w:color="000000"/>
            </w:tcBorders>
          </w:tcPr>
          <w:p w14:paraId="67743941"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Materials for site visits (field missions)</w:t>
            </w:r>
          </w:p>
        </w:tc>
        <w:tc>
          <w:tcPr>
            <w:tcW w:w="3749" w:type="dxa"/>
            <w:tcBorders>
              <w:bottom w:val="single" w:sz="12" w:space="0" w:color="000000"/>
            </w:tcBorders>
          </w:tcPr>
          <w:p w14:paraId="70C54E19" w14:textId="2FBB7E7F" w:rsidR="007721F9" w:rsidRPr="006632A3" w:rsidRDefault="00DA59DE" w:rsidP="00CD5B73">
            <w:pPr>
              <w:pBdr>
                <w:top w:val="nil"/>
                <w:left w:val="nil"/>
                <w:bottom w:val="nil"/>
                <w:right w:val="nil"/>
                <w:between w:val="nil"/>
              </w:pBdr>
              <w:spacing w:before="20" w:after="20"/>
              <w:rPr>
                <w:color w:val="000000"/>
                <w:sz w:val="20"/>
                <w:szCs w:val="20"/>
              </w:rPr>
            </w:pPr>
            <w:r>
              <w:rPr>
                <w:color w:val="000000"/>
                <w:sz w:val="20"/>
                <w:szCs w:val="20"/>
              </w:rPr>
              <w:t xml:space="preserve">Feed the Future </w:t>
            </w:r>
            <w:r w:rsidR="00EF2F68">
              <w:rPr>
                <w:color w:val="000000"/>
                <w:sz w:val="20"/>
                <w:szCs w:val="20"/>
              </w:rPr>
              <w:t>and</w:t>
            </w:r>
            <w:r>
              <w:rPr>
                <w:color w:val="000000"/>
                <w:sz w:val="20"/>
                <w:szCs w:val="20"/>
              </w:rPr>
              <w:t xml:space="preserve"> </w:t>
            </w:r>
            <w:r w:rsidR="007721F9" w:rsidRPr="006632A3">
              <w:rPr>
                <w:color w:val="000000"/>
                <w:sz w:val="20"/>
                <w:szCs w:val="20"/>
              </w:rPr>
              <w:t>USAID identit</w:t>
            </w:r>
            <w:r>
              <w:rPr>
                <w:color w:val="000000"/>
                <w:sz w:val="20"/>
                <w:szCs w:val="20"/>
              </w:rPr>
              <w:t>ies</w:t>
            </w:r>
            <w:r w:rsidR="007721F9" w:rsidRPr="006632A3">
              <w:rPr>
                <w:color w:val="000000"/>
                <w:sz w:val="20"/>
                <w:szCs w:val="20"/>
              </w:rPr>
              <w:t xml:space="preserve"> </w:t>
            </w:r>
            <w:r w:rsidR="00833228">
              <w:rPr>
                <w:color w:val="000000"/>
                <w:sz w:val="20"/>
                <w:szCs w:val="20"/>
              </w:rPr>
              <w:t xml:space="preserve">will be </w:t>
            </w:r>
            <w:r w:rsidR="007721F9" w:rsidRPr="006632A3">
              <w:rPr>
                <w:color w:val="000000"/>
                <w:sz w:val="20"/>
                <w:szCs w:val="20"/>
              </w:rPr>
              <w:t xml:space="preserve">printed on the materials; </w:t>
            </w:r>
            <w:r w:rsidR="00833228">
              <w:rPr>
                <w:color w:val="000000"/>
                <w:sz w:val="20"/>
                <w:szCs w:val="20"/>
              </w:rPr>
              <w:t xml:space="preserve">the </w:t>
            </w:r>
            <w:r w:rsidR="007721F9" w:rsidRPr="006632A3">
              <w:rPr>
                <w:color w:val="000000"/>
                <w:sz w:val="20"/>
                <w:szCs w:val="20"/>
              </w:rPr>
              <w:t>design follows guidelines for full branding.</w:t>
            </w:r>
          </w:p>
        </w:tc>
        <w:tc>
          <w:tcPr>
            <w:tcW w:w="2792" w:type="dxa"/>
            <w:tcBorders>
              <w:bottom w:val="single" w:sz="12" w:space="0" w:color="000000"/>
              <w:right w:val="nil"/>
            </w:tcBorders>
          </w:tcPr>
          <w:p w14:paraId="5C520CF7" w14:textId="77777777" w:rsidR="007721F9" w:rsidRPr="006632A3" w:rsidRDefault="007721F9" w:rsidP="00CD5B73">
            <w:pPr>
              <w:pBdr>
                <w:top w:val="nil"/>
                <w:left w:val="nil"/>
                <w:bottom w:val="nil"/>
                <w:right w:val="nil"/>
                <w:between w:val="nil"/>
              </w:pBdr>
              <w:spacing w:before="20" w:after="20"/>
              <w:rPr>
                <w:color w:val="000000"/>
                <w:sz w:val="20"/>
                <w:szCs w:val="20"/>
              </w:rPr>
            </w:pPr>
          </w:p>
        </w:tc>
      </w:tr>
      <w:tr w:rsidR="007721F9" w:rsidRPr="006632A3" w14:paraId="394242F9" w14:textId="77777777" w:rsidTr="00CD5B73">
        <w:trPr>
          <w:cantSplit/>
        </w:trPr>
        <w:tc>
          <w:tcPr>
            <w:tcW w:w="2531" w:type="dxa"/>
            <w:tcBorders>
              <w:top w:val="single" w:sz="12" w:space="0" w:color="000000"/>
              <w:left w:val="nil"/>
              <w:bottom w:val="single" w:sz="12" w:space="0" w:color="000000"/>
              <w:right w:val="nil"/>
            </w:tcBorders>
            <w:shd w:val="clear" w:color="auto" w:fill="C3C2C3"/>
          </w:tcPr>
          <w:p w14:paraId="69ED3E53" w14:textId="77777777" w:rsidR="007721F9" w:rsidRPr="006632A3" w:rsidRDefault="007721F9" w:rsidP="00CD5B73">
            <w:pPr>
              <w:pBdr>
                <w:top w:val="nil"/>
                <w:left w:val="nil"/>
                <w:bottom w:val="nil"/>
                <w:right w:val="nil"/>
                <w:between w:val="nil"/>
              </w:pBdr>
              <w:spacing w:before="20" w:after="20"/>
              <w:rPr>
                <w:b/>
                <w:i/>
                <w:color w:val="000000"/>
                <w:sz w:val="20"/>
                <w:szCs w:val="20"/>
              </w:rPr>
            </w:pPr>
            <w:r w:rsidRPr="006632A3">
              <w:rPr>
                <w:b/>
                <w:i/>
                <w:color w:val="000000"/>
                <w:sz w:val="20"/>
                <w:szCs w:val="20"/>
              </w:rPr>
              <w:t>Commodities</w:t>
            </w:r>
          </w:p>
        </w:tc>
        <w:tc>
          <w:tcPr>
            <w:tcW w:w="3749" w:type="dxa"/>
            <w:tcBorders>
              <w:top w:val="single" w:sz="12" w:space="0" w:color="000000"/>
              <w:left w:val="nil"/>
              <w:bottom w:val="single" w:sz="12" w:space="0" w:color="000000"/>
              <w:right w:val="nil"/>
            </w:tcBorders>
            <w:shd w:val="clear" w:color="auto" w:fill="C3C2C3"/>
          </w:tcPr>
          <w:p w14:paraId="4D7CE785" w14:textId="77777777" w:rsidR="007721F9" w:rsidRPr="006632A3" w:rsidRDefault="007721F9" w:rsidP="00CD5B73">
            <w:pPr>
              <w:pBdr>
                <w:top w:val="nil"/>
                <w:left w:val="nil"/>
                <w:bottom w:val="nil"/>
                <w:right w:val="nil"/>
                <w:between w:val="nil"/>
              </w:pBdr>
              <w:spacing w:before="20" w:after="20"/>
              <w:rPr>
                <w:i/>
                <w:color w:val="000000"/>
                <w:sz w:val="20"/>
                <w:szCs w:val="20"/>
              </w:rPr>
            </w:pPr>
          </w:p>
        </w:tc>
        <w:tc>
          <w:tcPr>
            <w:tcW w:w="2792" w:type="dxa"/>
            <w:tcBorders>
              <w:top w:val="single" w:sz="12" w:space="0" w:color="000000"/>
              <w:left w:val="nil"/>
              <w:bottom w:val="single" w:sz="12" w:space="0" w:color="000000"/>
              <w:right w:val="nil"/>
            </w:tcBorders>
            <w:shd w:val="clear" w:color="auto" w:fill="C3C2C3"/>
          </w:tcPr>
          <w:p w14:paraId="4BCAAC56" w14:textId="77777777" w:rsidR="007721F9" w:rsidRPr="006632A3" w:rsidRDefault="007721F9" w:rsidP="00CD5B73">
            <w:pPr>
              <w:pBdr>
                <w:top w:val="nil"/>
                <w:left w:val="nil"/>
                <w:bottom w:val="nil"/>
                <w:right w:val="nil"/>
                <w:between w:val="nil"/>
              </w:pBdr>
              <w:spacing w:before="20" w:after="20"/>
              <w:rPr>
                <w:i/>
                <w:color w:val="000000"/>
                <w:sz w:val="20"/>
                <w:szCs w:val="20"/>
              </w:rPr>
            </w:pPr>
          </w:p>
        </w:tc>
      </w:tr>
      <w:tr w:rsidR="007721F9" w14:paraId="146B688E" w14:textId="77777777" w:rsidTr="00CD5B73">
        <w:trPr>
          <w:cantSplit/>
        </w:trPr>
        <w:tc>
          <w:tcPr>
            <w:tcW w:w="2531" w:type="dxa"/>
            <w:tcBorders>
              <w:top w:val="single" w:sz="12" w:space="0" w:color="000000"/>
              <w:left w:val="nil"/>
              <w:bottom w:val="single" w:sz="4" w:space="0" w:color="000000"/>
            </w:tcBorders>
          </w:tcPr>
          <w:p w14:paraId="3E101B3B" w14:textId="77777777" w:rsidR="007721F9" w:rsidRPr="006632A3" w:rsidRDefault="007721F9" w:rsidP="00CD5B73">
            <w:pPr>
              <w:pBdr>
                <w:top w:val="nil"/>
                <w:left w:val="nil"/>
                <w:bottom w:val="nil"/>
                <w:right w:val="nil"/>
                <w:between w:val="nil"/>
              </w:pBdr>
              <w:spacing w:before="20" w:after="20"/>
              <w:rPr>
                <w:color w:val="000000"/>
                <w:sz w:val="20"/>
                <w:szCs w:val="20"/>
              </w:rPr>
            </w:pPr>
            <w:r w:rsidRPr="006632A3">
              <w:rPr>
                <w:color w:val="000000"/>
                <w:sz w:val="20"/>
                <w:szCs w:val="20"/>
              </w:rPr>
              <w:t>n/a</w:t>
            </w:r>
          </w:p>
        </w:tc>
        <w:tc>
          <w:tcPr>
            <w:tcW w:w="3749" w:type="dxa"/>
            <w:tcBorders>
              <w:top w:val="single" w:sz="12" w:space="0" w:color="000000"/>
            </w:tcBorders>
          </w:tcPr>
          <w:p w14:paraId="0AF178EF" w14:textId="4FB053AD" w:rsidR="007721F9" w:rsidRPr="006632A3" w:rsidRDefault="001B1EA7" w:rsidP="00CD5B73">
            <w:pPr>
              <w:pBdr>
                <w:top w:val="nil"/>
                <w:left w:val="nil"/>
                <w:bottom w:val="nil"/>
                <w:right w:val="nil"/>
                <w:between w:val="nil"/>
              </w:pBdr>
              <w:spacing w:before="20" w:after="20"/>
              <w:rPr>
                <w:color w:val="000000"/>
                <w:sz w:val="20"/>
                <w:szCs w:val="20"/>
              </w:rPr>
            </w:pPr>
            <w:r>
              <w:rPr>
                <w:color w:val="000000"/>
                <w:sz w:val="20"/>
                <w:szCs w:val="20"/>
              </w:rPr>
              <w:t xml:space="preserve">Feed the Future </w:t>
            </w:r>
            <w:r w:rsidR="00833228">
              <w:rPr>
                <w:color w:val="000000"/>
                <w:sz w:val="20"/>
                <w:szCs w:val="20"/>
              </w:rPr>
              <w:t>and</w:t>
            </w:r>
            <w:r>
              <w:rPr>
                <w:color w:val="000000"/>
                <w:sz w:val="20"/>
                <w:szCs w:val="20"/>
              </w:rPr>
              <w:t xml:space="preserve"> </w:t>
            </w:r>
            <w:r w:rsidR="007721F9" w:rsidRPr="006632A3">
              <w:rPr>
                <w:color w:val="000000"/>
                <w:sz w:val="20"/>
                <w:szCs w:val="20"/>
              </w:rPr>
              <w:t>USAID identit</w:t>
            </w:r>
            <w:r w:rsidR="00D22600">
              <w:rPr>
                <w:color w:val="000000"/>
                <w:sz w:val="20"/>
                <w:szCs w:val="20"/>
              </w:rPr>
              <w:t>ies</w:t>
            </w:r>
            <w:r w:rsidR="007721F9" w:rsidRPr="006632A3">
              <w:rPr>
                <w:color w:val="000000"/>
                <w:sz w:val="20"/>
                <w:szCs w:val="20"/>
              </w:rPr>
              <w:t xml:space="preserve"> </w:t>
            </w:r>
            <w:r w:rsidR="00833228">
              <w:rPr>
                <w:color w:val="000000"/>
                <w:sz w:val="20"/>
                <w:szCs w:val="20"/>
              </w:rPr>
              <w:t xml:space="preserve">will be </w:t>
            </w:r>
            <w:r w:rsidR="007721F9" w:rsidRPr="006632A3">
              <w:rPr>
                <w:color w:val="000000"/>
                <w:sz w:val="20"/>
                <w:szCs w:val="20"/>
              </w:rPr>
              <w:t xml:space="preserve">printed on the materials; </w:t>
            </w:r>
            <w:r w:rsidR="00833228">
              <w:rPr>
                <w:color w:val="000000"/>
                <w:sz w:val="20"/>
                <w:szCs w:val="20"/>
              </w:rPr>
              <w:t xml:space="preserve">the </w:t>
            </w:r>
            <w:r w:rsidR="007721F9" w:rsidRPr="006632A3">
              <w:rPr>
                <w:color w:val="000000"/>
                <w:sz w:val="20"/>
                <w:szCs w:val="20"/>
              </w:rPr>
              <w:t>design follows guidelines for full branding except in cases where marking or co-marking would impede the functionality of the item (per ADS 320.3.2.5.d).</w:t>
            </w:r>
          </w:p>
        </w:tc>
        <w:tc>
          <w:tcPr>
            <w:tcW w:w="2792" w:type="dxa"/>
            <w:tcBorders>
              <w:top w:val="single" w:sz="12" w:space="0" w:color="000000"/>
              <w:bottom w:val="single" w:sz="4" w:space="0" w:color="000000"/>
              <w:right w:val="nil"/>
            </w:tcBorders>
          </w:tcPr>
          <w:p w14:paraId="6CB91BC6" w14:textId="77777777" w:rsidR="007721F9" w:rsidRPr="006632A3" w:rsidRDefault="007721F9" w:rsidP="00CD5B73">
            <w:pPr>
              <w:pBdr>
                <w:top w:val="nil"/>
                <w:left w:val="nil"/>
                <w:bottom w:val="nil"/>
                <w:right w:val="nil"/>
                <w:between w:val="nil"/>
              </w:pBdr>
              <w:spacing w:before="20" w:after="20"/>
              <w:rPr>
                <w:color w:val="000000"/>
                <w:sz w:val="20"/>
                <w:szCs w:val="20"/>
              </w:rPr>
            </w:pPr>
          </w:p>
        </w:tc>
      </w:tr>
    </w:tbl>
    <w:p w14:paraId="7796B92B" w14:textId="77777777" w:rsidR="007721F9" w:rsidRDefault="007721F9" w:rsidP="007721F9">
      <w:pPr>
        <w:rPr>
          <w:b/>
          <w:sz w:val="24"/>
          <w:szCs w:val="24"/>
        </w:rPr>
      </w:pPr>
    </w:p>
    <w:p w14:paraId="5FA40DE2" w14:textId="77777777" w:rsidR="00DB089C" w:rsidRDefault="00DB089C"/>
    <w:sectPr w:rsidR="00DB089C">
      <w:headerReference w:type="even" r:id="rId9"/>
      <w:headerReference w:type="default" r:id="rId10"/>
      <w:footerReference w:type="even" r:id="rId11"/>
      <w:footerReference w:type="default" r:id="rId12"/>
      <w:headerReference w:type="first" r:id="rId13"/>
      <w:footerReference w:type="first" r:id="rId14"/>
      <w:pgSz w:w="12240" w:h="15840"/>
      <w:pgMar w:top="1584" w:right="1584" w:bottom="1584" w:left="1584"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A27D1" w14:textId="77777777" w:rsidR="00B41A55" w:rsidRDefault="00B41A55">
      <w:pPr>
        <w:spacing w:after="0"/>
      </w:pPr>
      <w:r>
        <w:separator/>
      </w:r>
    </w:p>
  </w:endnote>
  <w:endnote w:type="continuationSeparator" w:id="0">
    <w:p w14:paraId="666170D4" w14:textId="77777777" w:rsidR="00B41A55" w:rsidRDefault="00B41A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BBEBC" w14:textId="77777777" w:rsidR="00B26BC5" w:rsidRDefault="009650D2">
    <w:pPr>
      <w:pBdr>
        <w:top w:val="nil"/>
        <w:left w:val="nil"/>
        <w:bottom w:val="nil"/>
        <w:right w:val="nil"/>
        <w:between w:val="nil"/>
      </w:pBdr>
      <w:tabs>
        <w:tab w:val="center" w:pos="4680"/>
        <w:tab w:val="right" w:pos="9360"/>
      </w:tabs>
      <w:spacing w:after="0"/>
      <w:rPr>
        <w:b/>
        <w:color w:val="DA291C"/>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3C589" w14:textId="77777777" w:rsidR="00B26BC5" w:rsidRDefault="00C70D6A">
    <w:pPr>
      <w:pBdr>
        <w:top w:val="nil"/>
        <w:left w:val="nil"/>
        <w:bottom w:val="nil"/>
        <w:right w:val="nil"/>
        <w:between w:val="nil"/>
      </w:pBdr>
      <w:tabs>
        <w:tab w:val="center" w:pos="4680"/>
        <w:tab w:val="right" w:pos="9360"/>
      </w:tabs>
      <w:spacing w:after="0"/>
      <w:jc w:val="right"/>
      <w:rPr>
        <w:b/>
        <w:color w:val="000000"/>
        <w:sz w:val="20"/>
        <w:szCs w:val="20"/>
      </w:rPr>
    </w:pPr>
    <w:r>
      <w:rPr>
        <w:b/>
        <w:color w:val="DA291C"/>
        <w:sz w:val="20"/>
        <w:szCs w:val="20"/>
      </w:rPr>
      <w:t xml:space="preserve">|  </w:t>
    </w:r>
    <w:r>
      <w:rPr>
        <w:b/>
        <w:color w:val="DA291C"/>
        <w:sz w:val="20"/>
        <w:szCs w:val="20"/>
      </w:rPr>
      <w:fldChar w:fldCharType="begin"/>
    </w:r>
    <w:r>
      <w:rPr>
        <w:b/>
        <w:color w:val="DA291C"/>
        <w:sz w:val="20"/>
        <w:szCs w:val="20"/>
      </w:rPr>
      <w:instrText>PAGE</w:instrText>
    </w:r>
    <w:r>
      <w:rPr>
        <w:b/>
        <w:color w:val="DA291C"/>
        <w:sz w:val="20"/>
        <w:szCs w:val="20"/>
      </w:rPr>
      <w:fldChar w:fldCharType="separate"/>
    </w:r>
    <w:r>
      <w:rPr>
        <w:b/>
        <w:noProof/>
        <w:color w:val="DA291C"/>
        <w:sz w:val="20"/>
        <w:szCs w:val="20"/>
      </w:rPr>
      <w:t>8</w:t>
    </w:r>
    <w:r>
      <w:rPr>
        <w:b/>
        <w:color w:val="DA291C"/>
        <w:sz w:val="20"/>
        <w:szCs w:val="20"/>
      </w:rPr>
      <w:fldChar w:fldCharType="end"/>
    </w:r>
  </w:p>
  <w:p w14:paraId="593DD78F" w14:textId="77777777" w:rsidR="00B26BC5" w:rsidRDefault="009650D2">
    <w:pPr>
      <w:pBdr>
        <w:top w:val="nil"/>
        <w:left w:val="nil"/>
        <w:bottom w:val="nil"/>
        <w:right w:val="nil"/>
        <w:between w:val="nil"/>
      </w:pBdr>
      <w:tabs>
        <w:tab w:val="center" w:pos="4680"/>
        <w:tab w:val="right" w:pos="9360"/>
      </w:tabs>
      <w:spacing w:before="60" w:after="0"/>
      <w:jc w:val="cente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46FD9" w14:textId="77777777" w:rsidR="00B26BC5" w:rsidRDefault="009650D2">
    <w:pPr>
      <w:pBdr>
        <w:top w:val="nil"/>
        <w:left w:val="nil"/>
        <w:bottom w:val="nil"/>
        <w:right w:val="nil"/>
        <w:between w:val="nil"/>
      </w:pBdr>
      <w:tabs>
        <w:tab w:val="center" w:pos="4680"/>
        <w:tab w:val="right" w:pos="9360"/>
      </w:tabs>
      <w:spacing w:after="0"/>
      <w:rPr>
        <w:b/>
        <w:color w:val="DA291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20E2D" w14:textId="77777777" w:rsidR="00B41A55" w:rsidRDefault="00B41A55">
      <w:pPr>
        <w:spacing w:after="0"/>
      </w:pPr>
      <w:r>
        <w:separator/>
      </w:r>
    </w:p>
  </w:footnote>
  <w:footnote w:type="continuationSeparator" w:id="0">
    <w:p w14:paraId="3EF5AF7D" w14:textId="77777777" w:rsidR="00B41A55" w:rsidRDefault="00B41A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2D577" w14:textId="77777777" w:rsidR="00B26BC5" w:rsidRDefault="009650D2">
    <w:pPr>
      <w:pBdr>
        <w:top w:val="nil"/>
        <w:left w:val="nil"/>
        <w:bottom w:val="nil"/>
        <w:right w:val="nil"/>
        <w:between w:val="nil"/>
      </w:pBdr>
      <w:spacing w:after="20"/>
      <w:jc w:val="right"/>
      <w:rPr>
        <w:b/>
        <w:color w:val="00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8510D" w14:textId="77777777" w:rsidR="00B26BC5" w:rsidRDefault="009650D2">
    <w:pPr>
      <w:pBdr>
        <w:top w:val="nil"/>
        <w:left w:val="nil"/>
        <w:bottom w:val="nil"/>
        <w:right w:val="nil"/>
        <w:between w:val="nil"/>
      </w:pBdr>
      <w:spacing w:after="20"/>
      <w:jc w:val="right"/>
      <w:rPr>
        <w:b/>
        <w:color w:val="00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DE2D4" w14:textId="77777777" w:rsidR="00B26BC5" w:rsidRDefault="009650D2">
    <w:pPr>
      <w:pBdr>
        <w:top w:val="nil"/>
        <w:left w:val="nil"/>
        <w:bottom w:val="nil"/>
        <w:right w:val="nil"/>
        <w:between w:val="nil"/>
      </w:pBdr>
      <w:spacing w:after="20"/>
      <w:jc w:val="right"/>
      <w:rPr>
        <w:b/>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D4396"/>
    <w:multiLevelType w:val="multilevel"/>
    <w:tmpl w:val="42A089C4"/>
    <w:lvl w:ilvl="0">
      <w:start w:val="1"/>
      <w:numFmt w:val="bullet"/>
      <w:pStyle w:val="Call-OutBox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8B927C2"/>
    <w:multiLevelType w:val="multilevel"/>
    <w:tmpl w:val="1138CE48"/>
    <w:lvl w:ilvl="0">
      <w:start w:val="1"/>
      <w:numFmt w:val="bullet"/>
      <w:pStyle w:val="Bullets2"/>
      <w:lvlText w:val="•"/>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F9"/>
    <w:rsid w:val="0000197A"/>
    <w:rsid w:val="00002E26"/>
    <w:rsid w:val="00011CD5"/>
    <w:rsid w:val="00014B06"/>
    <w:rsid w:val="000205C4"/>
    <w:rsid w:val="000207A4"/>
    <w:rsid w:val="0003073F"/>
    <w:rsid w:val="00036984"/>
    <w:rsid w:val="0003783E"/>
    <w:rsid w:val="00081472"/>
    <w:rsid w:val="0009473B"/>
    <w:rsid w:val="000C5049"/>
    <w:rsid w:val="000F1A19"/>
    <w:rsid w:val="00131131"/>
    <w:rsid w:val="001427A9"/>
    <w:rsid w:val="00156F82"/>
    <w:rsid w:val="00162163"/>
    <w:rsid w:val="0019091C"/>
    <w:rsid w:val="001B1EA7"/>
    <w:rsid w:val="001B2378"/>
    <w:rsid w:val="001B4D61"/>
    <w:rsid w:val="001E0B25"/>
    <w:rsid w:val="001E706B"/>
    <w:rsid w:val="0020060F"/>
    <w:rsid w:val="0020430B"/>
    <w:rsid w:val="00214B55"/>
    <w:rsid w:val="002244A4"/>
    <w:rsid w:val="00230B6A"/>
    <w:rsid w:val="00243986"/>
    <w:rsid w:val="002457EA"/>
    <w:rsid w:val="00250488"/>
    <w:rsid w:val="00261B1C"/>
    <w:rsid w:val="0026399C"/>
    <w:rsid w:val="0026484D"/>
    <w:rsid w:val="00264AC8"/>
    <w:rsid w:val="0027783B"/>
    <w:rsid w:val="00281B13"/>
    <w:rsid w:val="00281E9F"/>
    <w:rsid w:val="00290B20"/>
    <w:rsid w:val="002A5AD2"/>
    <w:rsid w:val="002B2F44"/>
    <w:rsid w:val="002C22D0"/>
    <w:rsid w:val="002F7FEB"/>
    <w:rsid w:val="00315865"/>
    <w:rsid w:val="003232F2"/>
    <w:rsid w:val="003436AF"/>
    <w:rsid w:val="00356EEF"/>
    <w:rsid w:val="003644A6"/>
    <w:rsid w:val="0038640A"/>
    <w:rsid w:val="003A0F81"/>
    <w:rsid w:val="003C1CF7"/>
    <w:rsid w:val="003E59C2"/>
    <w:rsid w:val="003F2D3A"/>
    <w:rsid w:val="00402CED"/>
    <w:rsid w:val="004162EB"/>
    <w:rsid w:val="0044464E"/>
    <w:rsid w:val="00475DF6"/>
    <w:rsid w:val="004815D4"/>
    <w:rsid w:val="0048182E"/>
    <w:rsid w:val="00487620"/>
    <w:rsid w:val="004A0F32"/>
    <w:rsid w:val="004B0151"/>
    <w:rsid w:val="004C37F2"/>
    <w:rsid w:val="004E1C26"/>
    <w:rsid w:val="004E7667"/>
    <w:rsid w:val="004F1401"/>
    <w:rsid w:val="004F37DB"/>
    <w:rsid w:val="00501174"/>
    <w:rsid w:val="00503806"/>
    <w:rsid w:val="0053567C"/>
    <w:rsid w:val="00536615"/>
    <w:rsid w:val="00553104"/>
    <w:rsid w:val="00555EF7"/>
    <w:rsid w:val="00570D25"/>
    <w:rsid w:val="005A0B20"/>
    <w:rsid w:val="005A2EE5"/>
    <w:rsid w:val="005B68AE"/>
    <w:rsid w:val="005E23E4"/>
    <w:rsid w:val="005F41CF"/>
    <w:rsid w:val="005F4CA4"/>
    <w:rsid w:val="00601BBE"/>
    <w:rsid w:val="00617D09"/>
    <w:rsid w:val="006301DB"/>
    <w:rsid w:val="0066678F"/>
    <w:rsid w:val="006D3486"/>
    <w:rsid w:val="006F2374"/>
    <w:rsid w:val="00703E83"/>
    <w:rsid w:val="007058A7"/>
    <w:rsid w:val="00717AE6"/>
    <w:rsid w:val="0073440B"/>
    <w:rsid w:val="0074450D"/>
    <w:rsid w:val="00745340"/>
    <w:rsid w:val="007721F9"/>
    <w:rsid w:val="00785167"/>
    <w:rsid w:val="0079236E"/>
    <w:rsid w:val="007B7C9D"/>
    <w:rsid w:val="007C2CBE"/>
    <w:rsid w:val="007F7976"/>
    <w:rsid w:val="007F7F01"/>
    <w:rsid w:val="00831F6A"/>
    <w:rsid w:val="00833228"/>
    <w:rsid w:val="00875097"/>
    <w:rsid w:val="00887CF8"/>
    <w:rsid w:val="00896F67"/>
    <w:rsid w:val="008A3A5E"/>
    <w:rsid w:val="008C090D"/>
    <w:rsid w:val="00911E48"/>
    <w:rsid w:val="009121C4"/>
    <w:rsid w:val="009429AC"/>
    <w:rsid w:val="009650D2"/>
    <w:rsid w:val="00966656"/>
    <w:rsid w:val="009858A1"/>
    <w:rsid w:val="009B1CE7"/>
    <w:rsid w:val="009F15AA"/>
    <w:rsid w:val="009F1DB8"/>
    <w:rsid w:val="00A16201"/>
    <w:rsid w:val="00A17645"/>
    <w:rsid w:val="00A35606"/>
    <w:rsid w:val="00A45456"/>
    <w:rsid w:val="00AC4E65"/>
    <w:rsid w:val="00AD6363"/>
    <w:rsid w:val="00AF6050"/>
    <w:rsid w:val="00B06E42"/>
    <w:rsid w:val="00B25CED"/>
    <w:rsid w:val="00B41A55"/>
    <w:rsid w:val="00B41ED6"/>
    <w:rsid w:val="00B63D48"/>
    <w:rsid w:val="00B87BC5"/>
    <w:rsid w:val="00C0184E"/>
    <w:rsid w:val="00C054D3"/>
    <w:rsid w:val="00C0560E"/>
    <w:rsid w:val="00C06E46"/>
    <w:rsid w:val="00C14E32"/>
    <w:rsid w:val="00C60CF1"/>
    <w:rsid w:val="00C70D6A"/>
    <w:rsid w:val="00C71CFC"/>
    <w:rsid w:val="00CA13C8"/>
    <w:rsid w:val="00CA1FB8"/>
    <w:rsid w:val="00CA6430"/>
    <w:rsid w:val="00CB162F"/>
    <w:rsid w:val="00CB1921"/>
    <w:rsid w:val="00CC10EF"/>
    <w:rsid w:val="00CF44B8"/>
    <w:rsid w:val="00CF6740"/>
    <w:rsid w:val="00D154F3"/>
    <w:rsid w:val="00D22600"/>
    <w:rsid w:val="00D25AE7"/>
    <w:rsid w:val="00D316D9"/>
    <w:rsid w:val="00D32F6D"/>
    <w:rsid w:val="00D40415"/>
    <w:rsid w:val="00D92185"/>
    <w:rsid w:val="00DA59DE"/>
    <w:rsid w:val="00DA7F53"/>
    <w:rsid w:val="00DB089C"/>
    <w:rsid w:val="00DB20E7"/>
    <w:rsid w:val="00DE5621"/>
    <w:rsid w:val="00E01D76"/>
    <w:rsid w:val="00E02846"/>
    <w:rsid w:val="00E0708D"/>
    <w:rsid w:val="00E269B1"/>
    <w:rsid w:val="00E3411F"/>
    <w:rsid w:val="00E60203"/>
    <w:rsid w:val="00E63399"/>
    <w:rsid w:val="00E6455E"/>
    <w:rsid w:val="00E70C7F"/>
    <w:rsid w:val="00E77F13"/>
    <w:rsid w:val="00E80F62"/>
    <w:rsid w:val="00E87CF5"/>
    <w:rsid w:val="00EB14B8"/>
    <w:rsid w:val="00EC6461"/>
    <w:rsid w:val="00EE396B"/>
    <w:rsid w:val="00EE729E"/>
    <w:rsid w:val="00EF10C9"/>
    <w:rsid w:val="00EF13AF"/>
    <w:rsid w:val="00EF2F68"/>
    <w:rsid w:val="00F379D5"/>
    <w:rsid w:val="00F62151"/>
    <w:rsid w:val="00F6580C"/>
    <w:rsid w:val="00F77E82"/>
    <w:rsid w:val="00F94689"/>
    <w:rsid w:val="00FA0B3B"/>
    <w:rsid w:val="00FA26A9"/>
    <w:rsid w:val="00FA33DB"/>
    <w:rsid w:val="00FA3674"/>
    <w:rsid w:val="00FA72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3A042"/>
  <w15:chartTrackingRefBased/>
  <w15:docId w15:val="{67468847-E736-4811-BB0E-94A5A4EA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1F9"/>
    <w:pPr>
      <w:spacing w:after="18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2">
    <w:name w:val="Bullets2"/>
    <w:basedOn w:val="Normal"/>
    <w:qFormat/>
    <w:rsid w:val="007721F9"/>
    <w:pPr>
      <w:numPr>
        <w:numId w:val="1"/>
      </w:numPr>
      <w:tabs>
        <w:tab w:val="num" w:pos="1080"/>
      </w:tabs>
      <w:spacing w:after="0"/>
    </w:pPr>
    <w:rPr>
      <w:sz w:val="24"/>
    </w:rPr>
  </w:style>
  <w:style w:type="paragraph" w:customStyle="1" w:styleId="Call-OutBoxBullet">
    <w:name w:val="Call-Out Box Bullet"/>
    <w:basedOn w:val="Normal"/>
    <w:qFormat/>
    <w:rsid w:val="007721F9"/>
    <w:pPr>
      <w:numPr>
        <w:numId w:val="2"/>
      </w:numPr>
      <w:spacing w:after="0"/>
      <w:contextualSpacing/>
    </w:pPr>
    <w:rPr>
      <w:rFonts w:eastAsiaTheme="minorHAnsi" w:cs="Arial"/>
      <w:color w:val="000000" w:themeColor="text1"/>
      <w:sz w:val="20"/>
    </w:rPr>
  </w:style>
  <w:style w:type="character" w:styleId="CommentReference">
    <w:name w:val="annotation reference"/>
    <w:basedOn w:val="DefaultParagraphFont"/>
    <w:uiPriority w:val="99"/>
    <w:semiHidden/>
    <w:unhideWhenUsed/>
    <w:rsid w:val="003F2D3A"/>
    <w:rPr>
      <w:sz w:val="16"/>
      <w:szCs w:val="16"/>
    </w:rPr>
  </w:style>
  <w:style w:type="paragraph" w:styleId="CommentText">
    <w:name w:val="annotation text"/>
    <w:basedOn w:val="Normal"/>
    <w:link w:val="CommentTextChar"/>
    <w:uiPriority w:val="99"/>
    <w:unhideWhenUsed/>
    <w:rsid w:val="003F2D3A"/>
    <w:rPr>
      <w:sz w:val="20"/>
      <w:szCs w:val="20"/>
    </w:rPr>
  </w:style>
  <w:style w:type="character" w:customStyle="1" w:styleId="CommentTextChar">
    <w:name w:val="Comment Text Char"/>
    <w:basedOn w:val="DefaultParagraphFont"/>
    <w:link w:val="CommentText"/>
    <w:uiPriority w:val="99"/>
    <w:rsid w:val="003F2D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2D3A"/>
    <w:rPr>
      <w:b/>
      <w:bCs/>
    </w:rPr>
  </w:style>
  <w:style w:type="character" w:customStyle="1" w:styleId="CommentSubjectChar">
    <w:name w:val="Comment Subject Char"/>
    <w:basedOn w:val="CommentTextChar"/>
    <w:link w:val="CommentSubject"/>
    <w:uiPriority w:val="99"/>
    <w:semiHidden/>
    <w:rsid w:val="003F2D3A"/>
    <w:rPr>
      <w:rFonts w:ascii="Times New Roman" w:eastAsia="Times New Roman" w:hAnsi="Times New Roman" w:cs="Times New Roman"/>
      <w:b/>
      <w:bCs/>
      <w:sz w:val="20"/>
      <w:szCs w:val="20"/>
    </w:rPr>
  </w:style>
  <w:style w:type="paragraph" w:styleId="Revision">
    <w:name w:val="Revision"/>
    <w:hidden/>
    <w:uiPriority w:val="99"/>
    <w:semiHidden/>
    <w:rsid w:val="00C70D6A"/>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2602</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Amoo</dc:creator>
  <cp:keywords/>
  <dc:description/>
  <cp:lastModifiedBy>Hamza Awudu</cp:lastModifiedBy>
  <cp:revision>2</cp:revision>
  <dcterms:created xsi:type="dcterms:W3CDTF">2023-05-08T12:36:00Z</dcterms:created>
  <dcterms:modified xsi:type="dcterms:W3CDTF">2023-05-08T12:36:00Z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66a5deb7-7dae-4db2-9065-f206d56a79a2</vt:lpwstr>
  </property>
</Properties>
</file>