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3AC7D" w14:textId="77777777" w:rsidR="00160D6A" w:rsidRPr="00160D6A" w:rsidRDefault="00160D6A" w:rsidP="00160D6A">
      <w:pPr>
        <w:rPr>
          <w:b/>
          <w:u w:val="single"/>
          <w:lang w:val="en-US"/>
        </w:rPr>
      </w:pPr>
      <w:r w:rsidRPr="00160D6A">
        <w:rPr>
          <w:b/>
          <w:u w:val="single"/>
          <w:lang w:val="en-US"/>
        </w:rPr>
        <w:t>SECTION I: FUNDING OPPORTUNITY DESCRIPTION</w:t>
      </w:r>
      <w:r w:rsidRPr="00160D6A">
        <w:rPr>
          <w:u w:val="single"/>
          <w:lang w:val="en-US"/>
        </w:rPr>
        <w:t xml:space="preserve">     </w:t>
      </w:r>
    </w:p>
    <w:p w14:paraId="5EED112C" w14:textId="77777777" w:rsidR="00160D6A" w:rsidRPr="00160D6A" w:rsidRDefault="00160D6A" w:rsidP="00160D6A">
      <w:pPr>
        <w:rPr>
          <w:i/>
          <w:lang w:val="en-US"/>
        </w:rPr>
      </w:pPr>
      <w:r w:rsidRPr="00160D6A">
        <w:rPr>
          <w:b/>
          <w:lang w:val="en-US"/>
        </w:rPr>
        <w:t>Program Description</w:t>
      </w:r>
    </w:p>
    <w:p w14:paraId="47B8B60D" w14:textId="77777777" w:rsidR="00160D6A" w:rsidRPr="00160D6A" w:rsidRDefault="00160D6A" w:rsidP="00160D6A">
      <w:pPr>
        <w:rPr>
          <w:lang w:val="en-US"/>
        </w:rPr>
      </w:pPr>
      <w:r w:rsidRPr="00160D6A">
        <w:rPr>
          <w:lang w:val="en-US"/>
        </w:rPr>
        <w:t xml:space="preserve">The Feed the Future Resilience in Northern Ghana Systems Strengthening Activity is implemented by Abt Global in the </w:t>
      </w:r>
      <w:r w:rsidRPr="00160D6A">
        <w:rPr>
          <w:b/>
          <w:lang w:val="en-US"/>
        </w:rPr>
        <w:t>Northern</w:t>
      </w:r>
      <w:r w:rsidRPr="00160D6A">
        <w:rPr>
          <w:lang w:val="en-US"/>
        </w:rPr>
        <w:t xml:space="preserve">, </w:t>
      </w:r>
      <w:proofErr w:type="gramStart"/>
      <w:r w:rsidRPr="00160D6A">
        <w:rPr>
          <w:b/>
          <w:lang w:val="en-US"/>
        </w:rPr>
        <w:t>North East</w:t>
      </w:r>
      <w:proofErr w:type="gramEnd"/>
      <w:r w:rsidRPr="00160D6A">
        <w:rPr>
          <w:b/>
          <w:lang w:val="en-US"/>
        </w:rPr>
        <w:t>, Upper East,</w:t>
      </w:r>
      <w:r w:rsidRPr="00160D6A">
        <w:rPr>
          <w:lang w:val="en-US"/>
        </w:rPr>
        <w:t xml:space="preserve"> and </w:t>
      </w:r>
      <w:r w:rsidRPr="00160D6A">
        <w:rPr>
          <w:b/>
          <w:lang w:val="en-US"/>
        </w:rPr>
        <w:t>Upper West regions</w:t>
      </w:r>
      <w:r w:rsidRPr="00160D6A">
        <w:rPr>
          <w:lang w:val="en-US"/>
        </w:rPr>
        <w:t xml:space="preserve"> of Ghana. There are in total 17 Districts in these four Regions, referred to as the USAID Zone of Influence (ZOI), which are among the most vulnerable regions in Ghana, with poor nutrition practices and a high prevalence of malnutrition in women of reproductive age (WRA) and children under five (CU5). Feed the Future Resilience in Northern Ghana Systems Strengthening grant program targets improving the nutritional status and resilience of 85,000 WRA and CU5 over five years. The grant implementation period is expected to be 12 months.</w:t>
      </w:r>
    </w:p>
    <w:p w14:paraId="142CEE3C" w14:textId="77777777" w:rsidR="00160D6A" w:rsidRPr="00160D6A" w:rsidRDefault="00160D6A" w:rsidP="00160D6A">
      <w:pPr>
        <w:numPr>
          <w:ilvl w:val="0"/>
          <w:numId w:val="1"/>
        </w:numPr>
        <w:rPr>
          <w:lang w:val="en-US"/>
        </w:rPr>
      </w:pPr>
      <w:r w:rsidRPr="00160D6A">
        <w:rPr>
          <w:b/>
          <w:u w:val="single"/>
          <w:lang w:val="en-US"/>
        </w:rPr>
        <w:t>Scope</w:t>
      </w:r>
    </w:p>
    <w:p w14:paraId="1ABC41A6" w14:textId="77777777" w:rsidR="00160D6A" w:rsidRPr="00160D6A" w:rsidRDefault="00160D6A" w:rsidP="00160D6A">
      <w:pPr>
        <w:rPr>
          <w:lang w:val="en-US"/>
        </w:rPr>
      </w:pPr>
      <w:r w:rsidRPr="00160D6A">
        <w:rPr>
          <w:lang w:val="en-US"/>
        </w:rPr>
        <w:t>The specific scope of proposed activities under this grant shall include the implementation of innovative activities to improve nutrition, health, and resilience among women of reproductive age and children under 5 years of age through the promotion of breastfeeding, complementary feeding, and dietary diversity. To improve these indicators, it is expected that applicants will suggest methods to increase the uptake of family planning services among communities. Applicants shall propose activities that incorporate collaboration with government decentralized departments such as the Ghana Health Service, the Department of Agriculture, Social Welfare Department in one or more of the districts in the ZOI noted above.</w:t>
      </w:r>
    </w:p>
    <w:p w14:paraId="432F4C94" w14:textId="77777777" w:rsidR="00160D6A" w:rsidRPr="00160D6A" w:rsidRDefault="00160D6A" w:rsidP="00160D6A">
      <w:pPr>
        <w:rPr>
          <w:lang w:val="en-US"/>
        </w:rPr>
      </w:pPr>
    </w:p>
    <w:p w14:paraId="0899AA5A" w14:textId="77777777" w:rsidR="00160D6A" w:rsidRPr="00160D6A" w:rsidRDefault="00160D6A" w:rsidP="00160D6A">
      <w:pPr>
        <w:numPr>
          <w:ilvl w:val="0"/>
          <w:numId w:val="1"/>
        </w:numPr>
        <w:rPr>
          <w:b/>
          <w:u w:val="single"/>
          <w:lang w:val="en-US"/>
        </w:rPr>
      </w:pPr>
      <w:r w:rsidRPr="00160D6A">
        <w:rPr>
          <w:b/>
          <w:u w:val="single"/>
          <w:lang w:val="en-US"/>
        </w:rPr>
        <w:t>Objectives</w:t>
      </w:r>
    </w:p>
    <w:p w14:paraId="0A28F758" w14:textId="77777777" w:rsidR="00160D6A" w:rsidRPr="00160D6A" w:rsidRDefault="00160D6A" w:rsidP="00160D6A">
      <w:pPr>
        <w:rPr>
          <w:lang w:val="en-US"/>
        </w:rPr>
      </w:pPr>
    </w:p>
    <w:p w14:paraId="60A5AABB" w14:textId="77777777" w:rsidR="00160D6A" w:rsidRPr="00160D6A" w:rsidRDefault="00160D6A" w:rsidP="00160D6A">
      <w:pPr>
        <w:rPr>
          <w:lang w:val="en-US"/>
        </w:rPr>
      </w:pPr>
      <w:r w:rsidRPr="00160D6A">
        <w:rPr>
          <w:lang w:val="en-US"/>
        </w:rPr>
        <w:t>The primary objectives of this grant program are to:</w:t>
      </w:r>
    </w:p>
    <w:p w14:paraId="4E93B7E0" w14:textId="77777777" w:rsidR="00160D6A" w:rsidRPr="00160D6A" w:rsidRDefault="00160D6A" w:rsidP="00160D6A">
      <w:pPr>
        <w:numPr>
          <w:ilvl w:val="0"/>
          <w:numId w:val="2"/>
        </w:numPr>
        <w:rPr>
          <w:lang w:val="en-US"/>
        </w:rPr>
      </w:pPr>
      <w:bookmarkStart w:id="0" w:name="_Hlk133565031"/>
      <w:r w:rsidRPr="00160D6A">
        <w:rPr>
          <w:lang w:val="en-US"/>
        </w:rPr>
        <w:t xml:space="preserve"> Improve nutrition among women and children </w:t>
      </w:r>
    </w:p>
    <w:p w14:paraId="1401F474" w14:textId="77777777" w:rsidR="00160D6A" w:rsidRPr="00160D6A" w:rsidRDefault="00160D6A" w:rsidP="00160D6A">
      <w:pPr>
        <w:numPr>
          <w:ilvl w:val="0"/>
          <w:numId w:val="2"/>
        </w:numPr>
        <w:rPr>
          <w:lang w:val="en-US"/>
        </w:rPr>
      </w:pPr>
      <w:r w:rsidRPr="00160D6A">
        <w:rPr>
          <w:lang w:val="en-US"/>
        </w:rPr>
        <w:t xml:space="preserve"> Improve early childhood development and social protection at the community level</w:t>
      </w:r>
    </w:p>
    <w:p w14:paraId="2A0BC515" w14:textId="77777777" w:rsidR="00160D6A" w:rsidRPr="00160D6A" w:rsidRDefault="00160D6A" w:rsidP="00160D6A">
      <w:pPr>
        <w:numPr>
          <w:ilvl w:val="0"/>
          <w:numId w:val="2"/>
        </w:numPr>
        <w:rPr>
          <w:lang w:val="en-US"/>
        </w:rPr>
      </w:pPr>
      <w:r w:rsidRPr="00160D6A">
        <w:rPr>
          <w:lang w:val="en-US"/>
        </w:rPr>
        <w:t xml:space="preserve"> Increase uptake of maternal and child health and family planning services. </w:t>
      </w:r>
      <w:bookmarkEnd w:id="0"/>
    </w:p>
    <w:p w14:paraId="20948049" w14:textId="77777777" w:rsidR="00160D6A" w:rsidRPr="00160D6A" w:rsidRDefault="00160D6A" w:rsidP="00160D6A">
      <w:pPr>
        <w:rPr>
          <w:lang w:val="en-US"/>
        </w:rPr>
      </w:pPr>
    </w:p>
    <w:p w14:paraId="7C0A3932" w14:textId="77777777" w:rsidR="00160D6A" w:rsidRPr="00160D6A" w:rsidRDefault="00160D6A" w:rsidP="00160D6A">
      <w:pPr>
        <w:rPr>
          <w:lang w:val="en-US"/>
        </w:rPr>
      </w:pPr>
      <w:r w:rsidRPr="00160D6A">
        <w:rPr>
          <w:lang w:val="en-US"/>
        </w:rPr>
        <w:t>These will be achieved by increasing knowledge and health-seeking behavior among women of reproductive age.</w:t>
      </w:r>
    </w:p>
    <w:p w14:paraId="2F413AB6" w14:textId="77777777" w:rsidR="00160D6A" w:rsidRPr="00160D6A" w:rsidRDefault="00160D6A" w:rsidP="00160D6A">
      <w:pPr>
        <w:rPr>
          <w:lang w:val="en-US"/>
        </w:rPr>
      </w:pPr>
    </w:p>
    <w:p w14:paraId="74762238" w14:textId="77777777" w:rsidR="00160D6A" w:rsidRPr="00160D6A" w:rsidRDefault="00160D6A" w:rsidP="00160D6A">
      <w:pPr>
        <w:rPr>
          <w:lang w:val="en-US"/>
        </w:rPr>
      </w:pPr>
      <w:r w:rsidRPr="00160D6A">
        <w:rPr>
          <w:lang w:val="en-US"/>
        </w:rPr>
        <w:t xml:space="preserve">This RFA seeks applications that propose innovative approaches that will: </w:t>
      </w:r>
    </w:p>
    <w:p w14:paraId="730BB0D5" w14:textId="77777777" w:rsidR="00160D6A" w:rsidRPr="00160D6A" w:rsidRDefault="00160D6A" w:rsidP="00160D6A">
      <w:pPr>
        <w:numPr>
          <w:ilvl w:val="0"/>
          <w:numId w:val="3"/>
        </w:numPr>
        <w:rPr>
          <w:lang w:val="en-US"/>
        </w:rPr>
      </w:pPr>
      <w:bookmarkStart w:id="1" w:name="_heading=h.tyjcwt"/>
      <w:bookmarkEnd w:id="1"/>
      <w:r w:rsidRPr="00160D6A">
        <w:rPr>
          <w:lang w:val="en-US"/>
        </w:rPr>
        <w:t>Increase knowledge and practice of improved infant, and young child feeding, including effective breastfeeding and complementary feeding, among mothers of children under 5 years of age.</w:t>
      </w:r>
      <w:bookmarkStart w:id="2" w:name="_heading=h.hr7a666q5auy"/>
      <w:bookmarkEnd w:id="2"/>
    </w:p>
    <w:p w14:paraId="228BCA33" w14:textId="77777777" w:rsidR="00160D6A" w:rsidRPr="00160D6A" w:rsidRDefault="00160D6A" w:rsidP="00160D6A">
      <w:pPr>
        <w:numPr>
          <w:ilvl w:val="0"/>
          <w:numId w:val="3"/>
        </w:numPr>
        <w:rPr>
          <w:lang w:val="en-US"/>
        </w:rPr>
      </w:pPr>
      <w:r w:rsidRPr="00160D6A">
        <w:rPr>
          <w:lang w:val="en-US"/>
        </w:rPr>
        <w:t>Improve dietary diversity among pregnant and lactating women to reduce anemia and improve birth outcomes.</w:t>
      </w:r>
      <w:bookmarkStart w:id="3" w:name="_heading=h.21a3vxx210bx"/>
      <w:bookmarkStart w:id="4" w:name="_Hlk133563766"/>
      <w:bookmarkEnd w:id="3"/>
    </w:p>
    <w:p w14:paraId="67D8D2E1" w14:textId="77777777" w:rsidR="00160D6A" w:rsidRPr="00160D6A" w:rsidRDefault="00160D6A" w:rsidP="00160D6A">
      <w:pPr>
        <w:numPr>
          <w:ilvl w:val="0"/>
          <w:numId w:val="3"/>
        </w:numPr>
        <w:rPr>
          <w:lang w:val="en-US"/>
        </w:rPr>
      </w:pPr>
      <w:r w:rsidRPr="00160D6A">
        <w:rPr>
          <w:lang w:val="en-US"/>
        </w:rPr>
        <w:t>Improve early childhood development, responsive care, and social protection through innovative strategies</w:t>
      </w:r>
      <w:bookmarkEnd w:id="4"/>
      <w:r w:rsidRPr="00160D6A">
        <w:rPr>
          <w:lang w:val="en-US"/>
        </w:rPr>
        <w:t>.</w:t>
      </w:r>
      <w:bookmarkStart w:id="5" w:name="_heading=h.3dy6vkm"/>
      <w:bookmarkEnd w:id="5"/>
    </w:p>
    <w:p w14:paraId="041EDF1A" w14:textId="77777777" w:rsidR="00160D6A" w:rsidRPr="00160D6A" w:rsidRDefault="00160D6A" w:rsidP="00160D6A">
      <w:pPr>
        <w:numPr>
          <w:ilvl w:val="0"/>
          <w:numId w:val="3"/>
        </w:numPr>
        <w:rPr>
          <w:lang w:val="en-US"/>
        </w:rPr>
      </w:pPr>
      <w:r w:rsidRPr="00160D6A">
        <w:rPr>
          <w:lang w:val="en-US"/>
        </w:rPr>
        <w:lastRenderedPageBreak/>
        <w:t>Promote regular ante-natal care attendance among pregnant women to improve birth outcomes and increase awareness of the benefits of skilled delivery.</w:t>
      </w:r>
    </w:p>
    <w:p w14:paraId="2F61A85C" w14:textId="77777777" w:rsidR="00160D6A" w:rsidRPr="00160D6A" w:rsidRDefault="00160D6A" w:rsidP="00160D6A">
      <w:pPr>
        <w:numPr>
          <w:ilvl w:val="0"/>
          <w:numId w:val="3"/>
        </w:numPr>
        <w:rPr>
          <w:lang w:val="en-US"/>
        </w:rPr>
      </w:pPr>
      <w:r w:rsidRPr="00160D6A">
        <w:rPr>
          <w:lang w:val="en-US"/>
        </w:rPr>
        <w:t>Increase awareness and promote post-natal care attendance within the first 48 hours after delivery among pregnant women for early detection of postpartum complications.</w:t>
      </w:r>
    </w:p>
    <w:p w14:paraId="5084A8F0" w14:textId="77777777" w:rsidR="00160D6A" w:rsidRPr="00160D6A" w:rsidRDefault="00160D6A" w:rsidP="00160D6A">
      <w:pPr>
        <w:numPr>
          <w:ilvl w:val="0"/>
          <w:numId w:val="3"/>
        </w:numPr>
        <w:rPr>
          <w:lang w:val="en-US"/>
        </w:rPr>
      </w:pPr>
      <w:bookmarkStart w:id="6" w:name="_heading=h.t5npm1wtuadr"/>
      <w:bookmarkEnd w:id="6"/>
      <w:r w:rsidRPr="00160D6A">
        <w:rPr>
          <w:lang w:val="en-US"/>
        </w:rPr>
        <w:t>Improve care-seeking behaviors for newborn and childhood illnesses among women with children under 5 years.</w:t>
      </w:r>
    </w:p>
    <w:p w14:paraId="0C51DF06" w14:textId="77777777" w:rsidR="00160D6A" w:rsidRPr="00160D6A" w:rsidRDefault="00160D6A" w:rsidP="00160D6A">
      <w:pPr>
        <w:numPr>
          <w:ilvl w:val="0"/>
          <w:numId w:val="3"/>
        </w:numPr>
        <w:rPr>
          <w:b/>
          <w:lang w:val="en-US"/>
        </w:rPr>
      </w:pPr>
      <w:r w:rsidRPr="00160D6A">
        <w:rPr>
          <w:lang w:val="en-US"/>
        </w:rPr>
        <w:t>Increase voluntary uptake of quality modern contraceptive methods by offering culturally appropriate interventions that: (</w:t>
      </w:r>
      <w:proofErr w:type="spellStart"/>
      <w:r w:rsidRPr="00160D6A">
        <w:rPr>
          <w:lang w:val="en-US"/>
        </w:rPr>
        <w:t>i</w:t>
      </w:r>
      <w:proofErr w:type="spellEnd"/>
      <w:r w:rsidRPr="00160D6A">
        <w:rPr>
          <w:lang w:val="en-US"/>
        </w:rPr>
        <w:t>) positively influence people's views and opinions towards modern contraception, and (ii) encourage the use of high-quality and effective modern contraceptive methods.</w:t>
      </w:r>
      <w:r w:rsidRPr="00160D6A">
        <w:rPr>
          <w:b/>
          <w:lang w:val="en-US"/>
        </w:rPr>
        <w:br w:type="page"/>
      </w:r>
    </w:p>
    <w:p w14:paraId="3BE5A8DF" w14:textId="4F829D96" w:rsidR="00160D6A" w:rsidRPr="00160D6A" w:rsidRDefault="00160D6A" w:rsidP="00160D6A">
      <w:pPr>
        <w:rPr>
          <w:b/>
          <w:lang w:val="en-US"/>
        </w:rPr>
      </w:pPr>
      <w:r w:rsidRPr="00160D6A">
        <w:rPr>
          <w:lang w:val="en-US"/>
        </w:rPr>
        <w:lastRenderedPageBreak/>
        <w:drawing>
          <wp:anchor distT="4320" distB="4680" distL="118620" distR="118980" simplePos="0" relativeHeight="251659264" behindDoc="0" locked="0" layoutInCell="1" allowOverlap="1" wp14:anchorId="0C6FC656" wp14:editId="106A0D08">
            <wp:simplePos x="0" y="0"/>
            <wp:positionH relativeFrom="column">
              <wp:posOffset>5278755</wp:posOffset>
            </wp:positionH>
            <wp:positionV relativeFrom="paragraph">
              <wp:posOffset>901700</wp:posOffset>
            </wp:positionV>
            <wp:extent cx="0" cy="0"/>
            <wp:effectExtent l="0" t="0" r="0" b="0"/>
            <wp:wrapNone/>
            <wp:docPr id="9547670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pic:spPr>
                </pic:pic>
              </a:graphicData>
            </a:graphic>
            <wp14:sizeRelH relativeFrom="page">
              <wp14:pctWidth>0</wp14:pctWidth>
            </wp14:sizeRelH>
            <wp14:sizeRelV relativeFrom="page">
              <wp14:pctHeight>0</wp14:pctHeight>
            </wp14:sizeRelV>
          </wp:anchor>
        </w:drawing>
      </w:r>
      <w:r w:rsidRPr="00160D6A">
        <w:rPr>
          <w:lang w:val="en-US"/>
        </w:rPr>
        <w:drawing>
          <wp:anchor distT="4320" distB="4680" distL="118620" distR="118980" simplePos="0" relativeHeight="251660288" behindDoc="0" locked="0" layoutInCell="1" allowOverlap="1" wp14:anchorId="37188BB0" wp14:editId="49D8E755">
            <wp:simplePos x="0" y="0"/>
            <wp:positionH relativeFrom="column">
              <wp:posOffset>6122035</wp:posOffset>
            </wp:positionH>
            <wp:positionV relativeFrom="paragraph">
              <wp:posOffset>401955</wp:posOffset>
            </wp:positionV>
            <wp:extent cx="0" cy="0"/>
            <wp:effectExtent l="0" t="0" r="0" b="0"/>
            <wp:wrapNone/>
            <wp:docPr id="7457223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pic:spPr>
                </pic:pic>
              </a:graphicData>
            </a:graphic>
            <wp14:sizeRelH relativeFrom="page">
              <wp14:pctWidth>0</wp14:pctWidth>
            </wp14:sizeRelH>
            <wp14:sizeRelV relativeFrom="page">
              <wp14:pctHeight>0</wp14:pctHeight>
            </wp14:sizeRelV>
          </wp:anchor>
        </w:drawing>
      </w:r>
    </w:p>
    <w:p w14:paraId="748C359F" w14:textId="77777777" w:rsidR="00160D6A" w:rsidRPr="00160D6A" w:rsidRDefault="00160D6A" w:rsidP="00160D6A">
      <w:pPr>
        <w:numPr>
          <w:ilvl w:val="0"/>
          <w:numId w:val="1"/>
        </w:numPr>
        <w:rPr>
          <w:b/>
          <w:lang w:val="en-US"/>
        </w:rPr>
      </w:pPr>
      <w:r w:rsidRPr="00160D6A">
        <w:rPr>
          <w:b/>
          <w:lang w:val="en-US"/>
        </w:rPr>
        <w:t>Activity Geographic Location</w:t>
      </w:r>
    </w:p>
    <w:p w14:paraId="41F200F5" w14:textId="77777777" w:rsidR="00160D6A" w:rsidRPr="00160D6A" w:rsidRDefault="00160D6A" w:rsidP="00160D6A">
      <w:pPr>
        <w:rPr>
          <w:lang w:val="en-US"/>
        </w:rPr>
      </w:pPr>
      <w:bookmarkStart w:id="7" w:name="_heading=h.1t3h5sf"/>
      <w:bookmarkEnd w:id="7"/>
      <w:r w:rsidRPr="00160D6A">
        <w:rPr>
          <w:lang w:val="en-US"/>
        </w:rPr>
        <w:t xml:space="preserve">This solicitation targets interventions to be implemented in the Feed the Future Resilience in Northern Ghana Systems Strengthening Zone of Influence (ZOI) (see Annex 1), and Applicants having track records of operations in any of the four regions will be considered more favorable for an award under this RFA.  </w:t>
      </w:r>
    </w:p>
    <w:p w14:paraId="7C1B9BEE" w14:textId="77777777" w:rsidR="00160D6A" w:rsidRPr="00160D6A" w:rsidRDefault="00160D6A" w:rsidP="00160D6A">
      <w:pPr>
        <w:rPr>
          <w:lang w:val="en-US"/>
        </w:rPr>
      </w:pPr>
      <w:r w:rsidRPr="00160D6A">
        <w:rPr>
          <w:lang w:val="en-US"/>
        </w:rPr>
        <w:t xml:space="preserve">The ZOI is divided into four Regions (Northern, </w:t>
      </w:r>
      <w:proofErr w:type="gramStart"/>
      <w:r w:rsidRPr="00160D6A">
        <w:rPr>
          <w:lang w:val="en-US"/>
        </w:rPr>
        <w:t>North East</w:t>
      </w:r>
      <w:proofErr w:type="gramEnd"/>
      <w:r w:rsidRPr="00160D6A">
        <w:rPr>
          <w:lang w:val="en-US"/>
        </w:rPr>
        <w:t>, Upper East, and Upper West). Each Applicant must clearly identify the Region(s) they are applying for funding to support in the technical application template; if an Applicant wishes to apply for grant funding in more than one Region, they must submit independent cost and technical applications for each. This ensures fair and equitable competition among applicants of similar organizational size and capacity within each region and encourages applicants to address regional and district-specific interventions. It is anticipated that a maximum of seventeen (17) grants will be awarded across all four Regions as shown below, with each District containing 20 communities (10 new and 10 existing communities); however, Abt reserves the right to award as many or as few grants as practical to accomplish the intended outcomes of the grant program. To be considered eligible, each Applicant must demonstrate sufficient capacity and technical capability to implement activities in all 20 selected communities in a District.</w:t>
      </w:r>
    </w:p>
    <w:p w14:paraId="4A39ED00" w14:textId="77777777" w:rsidR="00160D6A" w:rsidRPr="00160D6A" w:rsidRDefault="00160D6A" w:rsidP="00160D6A">
      <w:pPr>
        <w:rPr>
          <w:b/>
          <w:lang w:val="en-US"/>
        </w:rPr>
      </w:pPr>
      <w:r w:rsidRPr="00160D6A">
        <w:rPr>
          <w:b/>
          <w:lang w:val="en-US"/>
        </w:rPr>
        <w:t>List of Districts by Region</w:t>
      </w:r>
    </w:p>
    <w:tbl>
      <w:tblPr>
        <w:tblW w:w="897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6"/>
        <w:gridCol w:w="2158"/>
        <w:gridCol w:w="2338"/>
        <w:gridCol w:w="2518"/>
      </w:tblGrid>
      <w:tr w:rsidR="00160D6A" w:rsidRPr="00160D6A" w14:paraId="45AC72F0" w14:textId="77777777" w:rsidTr="00160D6A">
        <w:trPr>
          <w:trHeight w:val="251"/>
        </w:trPr>
        <w:tc>
          <w:tcPr>
            <w:tcW w:w="19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B45F670" w14:textId="77777777" w:rsidR="00160D6A" w:rsidRPr="00160D6A" w:rsidRDefault="00160D6A" w:rsidP="00160D6A">
            <w:pPr>
              <w:rPr>
                <w:b/>
                <w:lang w:val="en-US"/>
              </w:rPr>
            </w:pPr>
            <w:r w:rsidRPr="00160D6A">
              <w:rPr>
                <w:b/>
                <w:lang w:val="en-US"/>
              </w:rPr>
              <w:t>Northern Region</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60BED92" w14:textId="77777777" w:rsidR="00160D6A" w:rsidRPr="00160D6A" w:rsidRDefault="00160D6A" w:rsidP="00160D6A">
            <w:pPr>
              <w:rPr>
                <w:b/>
                <w:lang w:val="en-US"/>
              </w:rPr>
            </w:pPr>
            <w:proofErr w:type="gramStart"/>
            <w:r w:rsidRPr="00160D6A">
              <w:rPr>
                <w:b/>
                <w:lang w:val="en-US"/>
              </w:rPr>
              <w:t>North East</w:t>
            </w:r>
            <w:proofErr w:type="gramEnd"/>
            <w:r w:rsidRPr="00160D6A">
              <w:rPr>
                <w:b/>
                <w:lang w:val="en-US"/>
              </w:rPr>
              <w:t xml:space="preserve"> Region</w:t>
            </w:r>
          </w:p>
        </w:tc>
        <w:tc>
          <w:tcPr>
            <w:tcW w:w="2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2A5CD70" w14:textId="77777777" w:rsidR="00160D6A" w:rsidRPr="00160D6A" w:rsidRDefault="00160D6A" w:rsidP="00160D6A">
            <w:pPr>
              <w:rPr>
                <w:b/>
                <w:lang w:val="en-US"/>
              </w:rPr>
            </w:pPr>
            <w:r w:rsidRPr="00160D6A">
              <w:rPr>
                <w:b/>
                <w:lang w:val="en-US"/>
              </w:rPr>
              <w:t>Upper East Region</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DC6FB89" w14:textId="77777777" w:rsidR="00160D6A" w:rsidRPr="00160D6A" w:rsidRDefault="00160D6A" w:rsidP="00160D6A">
            <w:pPr>
              <w:rPr>
                <w:b/>
                <w:lang w:val="en-US"/>
              </w:rPr>
            </w:pPr>
            <w:r w:rsidRPr="00160D6A">
              <w:rPr>
                <w:b/>
                <w:lang w:val="en-US"/>
              </w:rPr>
              <w:t>Upper West Region</w:t>
            </w:r>
          </w:p>
        </w:tc>
      </w:tr>
      <w:tr w:rsidR="00160D6A" w:rsidRPr="00160D6A" w14:paraId="730B2CC1" w14:textId="77777777" w:rsidTr="00160D6A">
        <w:trPr>
          <w:trHeight w:val="512"/>
        </w:trPr>
        <w:tc>
          <w:tcPr>
            <w:tcW w:w="1957" w:type="dxa"/>
            <w:tcBorders>
              <w:top w:val="single" w:sz="4" w:space="0" w:color="000000"/>
              <w:left w:val="single" w:sz="4" w:space="0" w:color="000000"/>
              <w:bottom w:val="single" w:sz="4" w:space="0" w:color="000000"/>
              <w:right w:val="single" w:sz="4" w:space="0" w:color="000000"/>
            </w:tcBorders>
            <w:hideMark/>
          </w:tcPr>
          <w:p w14:paraId="03C24C90" w14:textId="77777777" w:rsidR="00160D6A" w:rsidRPr="00160D6A" w:rsidRDefault="00160D6A" w:rsidP="00160D6A">
            <w:pPr>
              <w:numPr>
                <w:ilvl w:val="0"/>
                <w:numId w:val="4"/>
              </w:numPr>
              <w:rPr>
                <w:lang w:val="en-US"/>
              </w:rPr>
            </w:pPr>
            <w:r w:rsidRPr="00160D6A">
              <w:rPr>
                <w:lang w:val="en-US"/>
              </w:rPr>
              <w:t>Yendi</w:t>
            </w:r>
          </w:p>
        </w:tc>
        <w:tc>
          <w:tcPr>
            <w:tcW w:w="2160" w:type="dxa"/>
            <w:tcBorders>
              <w:top w:val="single" w:sz="4" w:space="0" w:color="000000"/>
              <w:left w:val="single" w:sz="4" w:space="0" w:color="000000"/>
              <w:bottom w:val="single" w:sz="4" w:space="0" w:color="000000"/>
              <w:right w:val="single" w:sz="4" w:space="0" w:color="000000"/>
            </w:tcBorders>
            <w:hideMark/>
          </w:tcPr>
          <w:p w14:paraId="4FFFEEF4" w14:textId="77777777" w:rsidR="00160D6A" w:rsidRPr="00160D6A" w:rsidRDefault="00160D6A" w:rsidP="00160D6A">
            <w:pPr>
              <w:numPr>
                <w:ilvl w:val="0"/>
                <w:numId w:val="5"/>
              </w:numPr>
            </w:pPr>
            <w:r w:rsidRPr="00160D6A">
              <w:t xml:space="preserve">East </w:t>
            </w:r>
            <w:proofErr w:type="spellStart"/>
            <w:r w:rsidRPr="00160D6A">
              <w:t>Mamprusi</w:t>
            </w:r>
            <w:proofErr w:type="spellEnd"/>
          </w:p>
        </w:tc>
        <w:tc>
          <w:tcPr>
            <w:tcW w:w="2340" w:type="dxa"/>
            <w:tcBorders>
              <w:top w:val="single" w:sz="4" w:space="0" w:color="000000"/>
              <w:left w:val="single" w:sz="4" w:space="0" w:color="000000"/>
              <w:bottom w:val="single" w:sz="4" w:space="0" w:color="000000"/>
              <w:right w:val="single" w:sz="4" w:space="0" w:color="000000"/>
            </w:tcBorders>
            <w:hideMark/>
          </w:tcPr>
          <w:p w14:paraId="287EDAC9" w14:textId="77777777" w:rsidR="00160D6A" w:rsidRPr="00160D6A" w:rsidRDefault="00160D6A" w:rsidP="00160D6A">
            <w:pPr>
              <w:numPr>
                <w:ilvl w:val="0"/>
                <w:numId w:val="6"/>
              </w:numPr>
            </w:pPr>
            <w:r w:rsidRPr="00160D6A">
              <w:t>Bawku Municipal</w:t>
            </w:r>
          </w:p>
        </w:tc>
        <w:tc>
          <w:tcPr>
            <w:tcW w:w="2520" w:type="dxa"/>
            <w:tcBorders>
              <w:top w:val="single" w:sz="4" w:space="0" w:color="000000"/>
              <w:left w:val="single" w:sz="4" w:space="0" w:color="000000"/>
              <w:bottom w:val="single" w:sz="4" w:space="0" w:color="000000"/>
              <w:right w:val="single" w:sz="4" w:space="0" w:color="000000"/>
            </w:tcBorders>
            <w:hideMark/>
          </w:tcPr>
          <w:p w14:paraId="259C2A30" w14:textId="77777777" w:rsidR="00160D6A" w:rsidRPr="00160D6A" w:rsidRDefault="00160D6A" w:rsidP="00160D6A">
            <w:pPr>
              <w:numPr>
                <w:ilvl w:val="0"/>
                <w:numId w:val="7"/>
              </w:numPr>
            </w:pPr>
            <w:proofErr w:type="spellStart"/>
            <w:r w:rsidRPr="00160D6A">
              <w:t>Daffiama</w:t>
            </w:r>
            <w:proofErr w:type="spellEnd"/>
            <w:r w:rsidRPr="00160D6A">
              <w:t xml:space="preserve"> Bussie Issa</w:t>
            </w:r>
          </w:p>
        </w:tc>
      </w:tr>
      <w:tr w:rsidR="00160D6A" w:rsidRPr="00160D6A" w14:paraId="7B773656" w14:textId="77777777" w:rsidTr="00160D6A">
        <w:trPr>
          <w:trHeight w:val="251"/>
        </w:trPr>
        <w:tc>
          <w:tcPr>
            <w:tcW w:w="1957" w:type="dxa"/>
            <w:tcBorders>
              <w:top w:val="single" w:sz="4" w:space="0" w:color="000000"/>
              <w:left w:val="single" w:sz="4" w:space="0" w:color="000000"/>
              <w:bottom w:val="single" w:sz="4" w:space="0" w:color="000000"/>
              <w:right w:val="single" w:sz="4" w:space="0" w:color="000000"/>
            </w:tcBorders>
            <w:hideMark/>
          </w:tcPr>
          <w:p w14:paraId="0EC0E698" w14:textId="77777777" w:rsidR="00160D6A" w:rsidRPr="00160D6A" w:rsidRDefault="00160D6A" w:rsidP="00160D6A">
            <w:pPr>
              <w:numPr>
                <w:ilvl w:val="0"/>
                <w:numId w:val="4"/>
              </w:numPr>
              <w:rPr>
                <w:lang w:val="en-US"/>
              </w:rPr>
            </w:pPr>
            <w:r w:rsidRPr="00160D6A">
              <w:rPr>
                <w:lang w:val="en-US"/>
              </w:rPr>
              <w:t>Mion</w:t>
            </w:r>
          </w:p>
        </w:tc>
        <w:tc>
          <w:tcPr>
            <w:tcW w:w="2160" w:type="dxa"/>
            <w:tcBorders>
              <w:top w:val="single" w:sz="4" w:space="0" w:color="000000"/>
              <w:left w:val="single" w:sz="4" w:space="0" w:color="000000"/>
              <w:bottom w:val="single" w:sz="4" w:space="0" w:color="000000"/>
              <w:right w:val="single" w:sz="4" w:space="0" w:color="000000"/>
            </w:tcBorders>
            <w:hideMark/>
          </w:tcPr>
          <w:p w14:paraId="195B2013" w14:textId="77777777" w:rsidR="00160D6A" w:rsidRPr="00160D6A" w:rsidRDefault="00160D6A" w:rsidP="00160D6A">
            <w:pPr>
              <w:numPr>
                <w:ilvl w:val="0"/>
                <w:numId w:val="5"/>
              </w:numPr>
            </w:pPr>
            <w:proofErr w:type="spellStart"/>
            <w:r w:rsidRPr="00160D6A">
              <w:t>Mamprugu</w:t>
            </w:r>
            <w:proofErr w:type="spellEnd"/>
            <w:r w:rsidRPr="00160D6A">
              <w:t xml:space="preserve"> </w:t>
            </w:r>
            <w:proofErr w:type="spellStart"/>
            <w:r w:rsidRPr="00160D6A">
              <w:t>Moagduri</w:t>
            </w:r>
            <w:proofErr w:type="spellEnd"/>
          </w:p>
        </w:tc>
        <w:tc>
          <w:tcPr>
            <w:tcW w:w="2340" w:type="dxa"/>
            <w:tcBorders>
              <w:top w:val="single" w:sz="4" w:space="0" w:color="000000"/>
              <w:left w:val="single" w:sz="4" w:space="0" w:color="000000"/>
              <w:bottom w:val="single" w:sz="4" w:space="0" w:color="000000"/>
              <w:right w:val="single" w:sz="4" w:space="0" w:color="000000"/>
            </w:tcBorders>
            <w:hideMark/>
          </w:tcPr>
          <w:p w14:paraId="57EA3DFC" w14:textId="77777777" w:rsidR="00160D6A" w:rsidRPr="00160D6A" w:rsidRDefault="00160D6A" w:rsidP="00160D6A">
            <w:pPr>
              <w:numPr>
                <w:ilvl w:val="0"/>
                <w:numId w:val="6"/>
              </w:numPr>
            </w:pPr>
            <w:r w:rsidRPr="00160D6A">
              <w:t>Bawku West</w:t>
            </w:r>
          </w:p>
        </w:tc>
        <w:tc>
          <w:tcPr>
            <w:tcW w:w="2520" w:type="dxa"/>
            <w:tcBorders>
              <w:top w:val="single" w:sz="4" w:space="0" w:color="000000"/>
              <w:left w:val="single" w:sz="4" w:space="0" w:color="000000"/>
              <w:bottom w:val="single" w:sz="4" w:space="0" w:color="000000"/>
              <w:right w:val="single" w:sz="4" w:space="0" w:color="000000"/>
            </w:tcBorders>
            <w:hideMark/>
          </w:tcPr>
          <w:p w14:paraId="5058D885" w14:textId="77777777" w:rsidR="00160D6A" w:rsidRPr="00160D6A" w:rsidRDefault="00160D6A" w:rsidP="00160D6A">
            <w:pPr>
              <w:numPr>
                <w:ilvl w:val="0"/>
                <w:numId w:val="7"/>
              </w:numPr>
            </w:pPr>
            <w:proofErr w:type="spellStart"/>
            <w:r w:rsidRPr="00160D6A">
              <w:t>Nadowli</w:t>
            </w:r>
            <w:proofErr w:type="spellEnd"/>
            <w:r w:rsidRPr="00160D6A">
              <w:t>-Kaleo</w:t>
            </w:r>
          </w:p>
        </w:tc>
      </w:tr>
      <w:tr w:rsidR="00160D6A" w:rsidRPr="00160D6A" w14:paraId="7807CD91" w14:textId="77777777" w:rsidTr="00160D6A">
        <w:trPr>
          <w:trHeight w:val="242"/>
        </w:trPr>
        <w:tc>
          <w:tcPr>
            <w:tcW w:w="1957" w:type="dxa"/>
            <w:tcBorders>
              <w:top w:val="single" w:sz="4" w:space="0" w:color="000000"/>
              <w:left w:val="single" w:sz="4" w:space="0" w:color="000000"/>
              <w:bottom w:val="single" w:sz="4" w:space="0" w:color="000000"/>
              <w:right w:val="single" w:sz="4" w:space="0" w:color="000000"/>
            </w:tcBorders>
            <w:hideMark/>
          </w:tcPr>
          <w:p w14:paraId="276C8126" w14:textId="77777777" w:rsidR="00160D6A" w:rsidRPr="00160D6A" w:rsidRDefault="00160D6A" w:rsidP="00160D6A">
            <w:pPr>
              <w:numPr>
                <w:ilvl w:val="0"/>
                <w:numId w:val="4"/>
              </w:numPr>
              <w:rPr>
                <w:lang w:val="en-US"/>
              </w:rPr>
            </w:pPr>
            <w:proofErr w:type="spellStart"/>
            <w:r w:rsidRPr="00160D6A">
              <w:rPr>
                <w:lang w:val="en-US"/>
              </w:rPr>
              <w:t>Karaga</w:t>
            </w:r>
            <w:proofErr w:type="spellEnd"/>
          </w:p>
        </w:tc>
        <w:tc>
          <w:tcPr>
            <w:tcW w:w="2160" w:type="dxa"/>
            <w:tcBorders>
              <w:top w:val="single" w:sz="4" w:space="0" w:color="000000"/>
              <w:left w:val="single" w:sz="4" w:space="0" w:color="000000"/>
              <w:bottom w:val="single" w:sz="4" w:space="0" w:color="000000"/>
              <w:right w:val="single" w:sz="4" w:space="0" w:color="000000"/>
            </w:tcBorders>
          </w:tcPr>
          <w:p w14:paraId="08A344AF" w14:textId="77777777" w:rsidR="00160D6A" w:rsidRPr="00160D6A" w:rsidRDefault="00160D6A" w:rsidP="00160D6A">
            <w:pPr>
              <w:rPr>
                <w:lang w:val="en-US"/>
              </w:rPr>
            </w:pPr>
          </w:p>
        </w:tc>
        <w:tc>
          <w:tcPr>
            <w:tcW w:w="2340" w:type="dxa"/>
            <w:tcBorders>
              <w:top w:val="single" w:sz="4" w:space="0" w:color="000000"/>
              <w:left w:val="single" w:sz="4" w:space="0" w:color="000000"/>
              <w:bottom w:val="single" w:sz="4" w:space="0" w:color="000000"/>
              <w:right w:val="single" w:sz="4" w:space="0" w:color="000000"/>
            </w:tcBorders>
            <w:hideMark/>
          </w:tcPr>
          <w:p w14:paraId="7A8E91B0" w14:textId="77777777" w:rsidR="00160D6A" w:rsidRPr="00160D6A" w:rsidRDefault="00160D6A" w:rsidP="00160D6A">
            <w:pPr>
              <w:numPr>
                <w:ilvl w:val="0"/>
                <w:numId w:val="6"/>
              </w:numPr>
            </w:pPr>
            <w:r w:rsidRPr="00160D6A">
              <w:t>Garu</w:t>
            </w:r>
          </w:p>
        </w:tc>
        <w:tc>
          <w:tcPr>
            <w:tcW w:w="2520" w:type="dxa"/>
            <w:tcBorders>
              <w:top w:val="single" w:sz="4" w:space="0" w:color="000000"/>
              <w:left w:val="single" w:sz="4" w:space="0" w:color="000000"/>
              <w:bottom w:val="single" w:sz="4" w:space="0" w:color="000000"/>
              <w:right w:val="single" w:sz="4" w:space="0" w:color="000000"/>
            </w:tcBorders>
            <w:hideMark/>
          </w:tcPr>
          <w:p w14:paraId="4A77FBE8" w14:textId="77777777" w:rsidR="00160D6A" w:rsidRPr="00160D6A" w:rsidRDefault="00160D6A" w:rsidP="00160D6A">
            <w:pPr>
              <w:numPr>
                <w:ilvl w:val="0"/>
                <w:numId w:val="7"/>
              </w:numPr>
            </w:pPr>
            <w:proofErr w:type="spellStart"/>
            <w:r w:rsidRPr="00160D6A">
              <w:t>Sissala</w:t>
            </w:r>
            <w:proofErr w:type="spellEnd"/>
            <w:r w:rsidRPr="00160D6A">
              <w:t xml:space="preserve"> East</w:t>
            </w:r>
          </w:p>
        </w:tc>
      </w:tr>
      <w:tr w:rsidR="00160D6A" w:rsidRPr="00160D6A" w14:paraId="33AF3025" w14:textId="77777777" w:rsidTr="00160D6A">
        <w:trPr>
          <w:trHeight w:val="251"/>
        </w:trPr>
        <w:tc>
          <w:tcPr>
            <w:tcW w:w="1957" w:type="dxa"/>
            <w:tcBorders>
              <w:top w:val="single" w:sz="4" w:space="0" w:color="000000"/>
              <w:left w:val="single" w:sz="4" w:space="0" w:color="000000"/>
              <w:bottom w:val="single" w:sz="4" w:space="0" w:color="000000"/>
              <w:right w:val="single" w:sz="4" w:space="0" w:color="000000"/>
            </w:tcBorders>
            <w:hideMark/>
          </w:tcPr>
          <w:p w14:paraId="5E662F28" w14:textId="77777777" w:rsidR="00160D6A" w:rsidRPr="00160D6A" w:rsidRDefault="00160D6A" w:rsidP="00160D6A">
            <w:pPr>
              <w:numPr>
                <w:ilvl w:val="0"/>
                <w:numId w:val="4"/>
              </w:numPr>
              <w:rPr>
                <w:lang w:val="en-US"/>
              </w:rPr>
            </w:pPr>
            <w:proofErr w:type="spellStart"/>
            <w:r w:rsidRPr="00160D6A">
              <w:rPr>
                <w:lang w:val="en-US"/>
              </w:rPr>
              <w:t>Gushegu</w:t>
            </w:r>
            <w:proofErr w:type="spellEnd"/>
          </w:p>
        </w:tc>
        <w:tc>
          <w:tcPr>
            <w:tcW w:w="2160" w:type="dxa"/>
            <w:tcBorders>
              <w:top w:val="single" w:sz="4" w:space="0" w:color="000000"/>
              <w:left w:val="single" w:sz="4" w:space="0" w:color="000000"/>
              <w:bottom w:val="single" w:sz="4" w:space="0" w:color="000000"/>
              <w:right w:val="single" w:sz="4" w:space="0" w:color="000000"/>
            </w:tcBorders>
          </w:tcPr>
          <w:p w14:paraId="112BF890" w14:textId="77777777" w:rsidR="00160D6A" w:rsidRPr="00160D6A" w:rsidRDefault="00160D6A" w:rsidP="00160D6A">
            <w:pPr>
              <w:rPr>
                <w:lang w:val="en-US"/>
              </w:rPr>
            </w:pPr>
          </w:p>
        </w:tc>
        <w:tc>
          <w:tcPr>
            <w:tcW w:w="2340" w:type="dxa"/>
            <w:tcBorders>
              <w:top w:val="single" w:sz="4" w:space="0" w:color="000000"/>
              <w:left w:val="single" w:sz="4" w:space="0" w:color="000000"/>
              <w:bottom w:val="single" w:sz="4" w:space="0" w:color="000000"/>
              <w:right w:val="single" w:sz="4" w:space="0" w:color="000000"/>
            </w:tcBorders>
            <w:hideMark/>
          </w:tcPr>
          <w:p w14:paraId="5EEB566C" w14:textId="77777777" w:rsidR="00160D6A" w:rsidRPr="00160D6A" w:rsidRDefault="00160D6A" w:rsidP="00160D6A">
            <w:pPr>
              <w:numPr>
                <w:ilvl w:val="0"/>
                <w:numId w:val="6"/>
              </w:numPr>
            </w:pPr>
            <w:proofErr w:type="spellStart"/>
            <w:r w:rsidRPr="00160D6A">
              <w:t>Tempane</w:t>
            </w:r>
            <w:proofErr w:type="spellEnd"/>
          </w:p>
        </w:tc>
        <w:tc>
          <w:tcPr>
            <w:tcW w:w="2520" w:type="dxa"/>
            <w:tcBorders>
              <w:top w:val="single" w:sz="4" w:space="0" w:color="000000"/>
              <w:left w:val="single" w:sz="4" w:space="0" w:color="000000"/>
              <w:bottom w:val="single" w:sz="4" w:space="0" w:color="000000"/>
              <w:right w:val="single" w:sz="4" w:space="0" w:color="000000"/>
            </w:tcBorders>
            <w:hideMark/>
          </w:tcPr>
          <w:p w14:paraId="055F4A39" w14:textId="77777777" w:rsidR="00160D6A" w:rsidRPr="00160D6A" w:rsidRDefault="00160D6A" w:rsidP="00160D6A">
            <w:pPr>
              <w:numPr>
                <w:ilvl w:val="0"/>
                <w:numId w:val="7"/>
              </w:numPr>
            </w:pPr>
            <w:proofErr w:type="spellStart"/>
            <w:r w:rsidRPr="00160D6A">
              <w:t>Sissala</w:t>
            </w:r>
            <w:proofErr w:type="spellEnd"/>
            <w:r w:rsidRPr="00160D6A">
              <w:t xml:space="preserve"> West</w:t>
            </w:r>
          </w:p>
        </w:tc>
      </w:tr>
      <w:tr w:rsidR="00160D6A" w:rsidRPr="00160D6A" w14:paraId="5E26EF96" w14:textId="77777777" w:rsidTr="00160D6A">
        <w:trPr>
          <w:trHeight w:val="71"/>
        </w:trPr>
        <w:tc>
          <w:tcPr>
            <w:tcW w:w="1957" w:type="dxa"/>
            <w:tcBorders>
              <w:top w:val="single" w:sz="4" w:space="0" w:color="000000"/>
              <w:left w:val="single" w:sz="4" w:space="0" w:color="000000"/>
              <w:bottom w:val="single" w:sz="4" w:space="0" w:color="000000"/>
              <w:right w:val="single" w:sz="4" w:space="0" w:color="000000"/>
            </w:tcBorders>
            <w:hideMark/>
          </w:tcPr>
          <w:p w14:paraId="62D6C133" w14:textId="77777777" w:rsidR="00160D6A" w:rsidRPr="00160D6A" w:rsidRDefault="00160D6A" w:rsidP="00160D6A">
            <w:pPr>
              <w:numPr>
                <w:ilvl w:val="0"/>
                <w:numId w:val="4"/>
              </w:numPr>
              <w:rPr>
                <w:lang w:val="en-US"/>
              </w:rPr>
            </w:pPr>
            <w:proofErr w:type="spellStart"/>
            <w:r w:rsidRPr="00160D6A">
              <w:rPr>
                <w:lang w:val="en-US"/>
              </w:rPr>
              <w:t>Nanton</w:t>
            </w:r>
            <w:proofErr w:type="spellEnd"/>
          </w:p>
        </w:tc>
        <w:tc>
          <w:tcPr>
            <w:tcW w:w="2160" w:type="dxa"/>
            <w:tcBorders>
              <w:top w:val="single" w:sz="4" w:space="0" w:color="000000"/>
              <w:left w:val="single" w:sz="4" w:space="0" w:color="000000"/>
              <w:bottom w:val="single" w:sz="4" w:space="0" w:color="000000"/>
              <w:right w:val="single" w:sz="4" w:space="0" w:color="000000"/>
            </w:tcBorders>
          </w:tcPr>
          <w:p w14:paraId="63BE9F7C" w14:textId="77777777" w:rsidR="00160D6A" w:rsidRPr="00160D6A" w:rsidRDefault="00160D6A" w:rsidP="00160D6A">
            <w:pPr>
              <w:rPr>
                <w:lang w:val="en-US"/>
              </w:rPr>
            </w:pPr>
          </w:p>
        </w:tc>
        <w:tc>
          <w:tcPr>
            <w:tcW w:w="2340" w:type="dxa"/>
            <w:tcBorders>
              <w:top w:val="single" w:sz="4" w:space="0" w:color="000000"/>
              <w:left w:val="single" w:sz="4" w:space="0" w:color="000000"/>
              <w:bottom w:val="single" w:sz="4" w:space="0" w:color="000000"/>
              <w:right w:val="single" w:sz="4" w:space="0" w:color="000000"/>
            </w:tcBorders>
          </w:tcPr>
          <w:p w14:paraId="22F94FB6" w14:textId="77777777" w:rsidR="00160D6A" w:rsidRPr="00160D6A" w:rsidRDefault="00160D6A" w:rsidP="00160D6A">
            <w:pPr>
              <w:rPr>
                <w:lang w:val="en-US"/>
              </w:rPr>
            </w:pPr>
          </w:p>
        </w:tc>
        <w:tc>
          <w:tcPr>
            <w:tcW w:w="2520" w:type="dxa"/>
            <w:tcBorders>
              <w:top w:val="single" w:sz="4" w:space="0" w:color="000000"/>
              <w:left w:val="single" w:sz="4" w:space="0" w:color="000000"/>
              <w:bottom w:val="single" w:sz="4" w:space="0" w:color="000000"/>
              <w:right w:val="single" w:sz="4" w:space="0" w:color="000000"/>
            </w:tcBorders>
            <w:hideMark/>
          </w:tcPr>
          <w:p w14:paraId="5173AFAA" w14:textId="77777777" w:rsidR="00160D6A" w:rsidRPr="00160D6A" w:rsidRDefault="00160D6A" w:rsidP="00160D6A">
            <w:pPr>
              <w:numPr>
                <w:ilvl w:val="0"/>
                <w:numId w:val="7"/>
              </w:numPr>
            </w:pPr>
            <w:proofErr w:type="spellStart"/>
            <w:r w:rsidRPr="00160D6A">
              <w:t>Wa</w:t>
            </w:r>
            <w:proofErr w:type="spellEnd"/>
            <w:r w:rsidRPr="00160D6A">
              <w:t xml:space="preserve"> East</w:t>
            </w:r>
          </w:p>
        </w:tc>
      </w:tr>
      <w:tr w:rsidR="00160D6A" w:rsidRPr="00160D6A" w14:paraId="1DA5296D" w14:textId="77777777" w:rsidTr="00160D6A">
        <w:trPr>
          <w:trHeight w:val="251"/>
        </w:trPr>
        <w:tc>
          <w:tcPr>
            <w:tcW w:w="1957" w:type="dxa"/>
            <w:tcBorders>
              <w:top w:val="single" w:sz="4" w:space="0" w:color="000000"/>
              <w:left w:val="single" w:sz="4" w:space="0" w:color="000000"/>
              <w:bottom w:val="single" w:sz="4" w:space="0" w:color="000000"/>
              <w:right w:val="single" w:sz="4" w:space="0" w:color="000000"/>
            </w:tcBorders>
            <w:hideMark/>
          </w:tcPr>
          <w:p w14:paraId="16C23DBD" w14:textId="77777777" w:rsidR="00160D6A" w:rsidRPr="00160D6A" w:rsidRDefault="00160D6A" w:rsidP="00160D6A">
            <w:pPr>
              <w:numPr>
                <w:ilvl w:val="0"/>
                <w:numId w:val="4"/>
              </w:numPr>
              <w:rPr>
                <w:lang w:val="en-US"/>
              </w:rPr>
            </w:pPr>
            <w:proofErr w:type="spellStart"/>
            <w:r w:rsidRPr="00160D6A">
              <w:rPr>
                <w:lang w:val="en-US"/>
              </w:rPr>
              <w:t>Sagnarigu</w:t>
            </w:r>
            <w:proofErr w:type="spellEnd"/>
          </w:p>
        </w:tc>
        <w:tc>
          <w:tcPr>
            <w:tcW w:w="2160" w:type="dxa"/>
            <w:tcBorders>
              <w:top w:val="single" w:sz="4" w:space="0" w:color="000000"/>
              <w:left w:val="single" w:sz="4" w:space="0" w:color="000000"/>
              <w:bottom w:val="single" w:sz="4" w:space="0" w:color="000000"/>
              <w:right w:val="single" w:sz="4" w:space="0" w:color="000000"/>
            </w:tcBorders>
          </w:tcPr>
          <w:p w14:paraId="34C732E2" w14:textId="77777777" w:rsidR="00160D6A" w:rsidRPr="00160D6A" w:rsidRDefault="00160D6A" w:rsidP="00160D6A">
            <w:pPr>
              <w:rPr>
                <w:lang w:val="en-US"/>
              </w:rPr>
            </w:pPr>
          </w:p>
        </w:tc>
        <w:tc>
          <w:tcPr>
            <w:tcW w:w="2340" w:type="dxa"/>
            <w:tcBorders>
              <w:top w:val="single" w:sz="4" w:space="0" w:color="000000"/>
              <w:left w:val="single" w:sz="4" w:space="0" w:color="000000"/>
              <w:bottom w:val="single" w:sz="4" w:space="0" w:color="000000"/>
              <w:right w:val="single" w:sz="4" w:space="0" w:color="000000"/>
            </w:tcBorders>
          </w:tcPr>
          <w:p w14:paraId="58F7DCEB" w14:textId="77777777" w:rsidR="00160D6A" w:rsidRPr="00160D6A" w:rsidRDefault="00160D6A" w:rsidP="00160D6A">
            <w:pPr>
              <w:rPr>
                <w:lang w:val="en-US"/>
              </w:rPr>
            </w:pPr>
          </w:p>
        </w:tc>
        <w:tc>
          <w:tcPr>
            <w:tcW w:w="2520" w:type="dxa"/>
            <w:tcBorders>
              <w:top w:val="single" w:sz="4" w:space="0" w:color="000000"/>
              <w:left w:val="single" w:sz="4" w:space="0" w:color="000000"/>
              <w:bottom w:val="single" w:sz="4" w:space="0" w:color="000000"/>
              <w:right w:val="single" w:sz="4" w:space="0" w:color="000000"/>
            </w:tcBorders>
          </w:tcPr>
          <w:p w14:paraId="37E314E3" w14:textId="77777777" w:rsidR="00160D6A" w:rsidRPr="00160D6A" w:rsidRDefault="00160D6A" w:rsidP="00160D6A">
            <w:pPr>
              <w:rPr>
                <w:lang w:val="en-US"/>
              </w:rPr>
            </w:pPr>
          </w:p>
        </w:tc>
      </w:tr>
    </w:tbl>
    <w:p w14:paraId="6432EFB8" w14:textId="77777777" w:rsidR="00160D6A" w:rsidRPr="00160D6A" w:rsidRDefault="00160D6A" w:rsidP="00160D6A">
      <w:pPr>
        <w:rPr>
          <w:i/>
          <w:lang w:val="en-US"/>
        </w:rPr>
      </w:pPr>
      <w:r w:rsidRPr="00160D6A">
        <w:rPr>
          <w:i/>
          <w:lang w:val="en-US"/>
        </w:rPr>
        <w:tab/>
        <w:t xml:space="preserve">NOTE: Each District will comprise a minimum of 20 (10 new and 10 existing) communities where grant activities must be performed. The list of beneficiary communities will be attached in the RFA attachment H. </w:t>
      </w:r>
    </w:p>
    <w:p w14:paraId="11235DBB" w14:textId="77777777" w:rsidR="00160D6A" w:rsidRPr="00160D6A" w:rsidRDefault="00160D6A" w:rsidP="00160D6A">
      <w:pPr>
        <w:rPr>
          <w:i/>
          <w:lang w:val="en-US"/>
        </w:rPr>
      </w:pPr>
    </w:p>
    <w:p w14:paraId="14CF9A64" w14:textId="77777777" w:rsidR="00160D6A" w:rsidRPr="00160D6A" w:rsidRDefault="00160D6A" w:rsidP="00160D6A">
      <w:pPr>
        <w:numPr>
          <w:ilvl w:val="0"/>
          <w:numId w:val="1"/>
        </w:numPr>
        <w:rPr>
          <w:b/>
          <w:u w:val="single"/>
          <w:lang w:val="en-US"/>
        </w:rPr>
      </w:pPr>
      <w:r w:rsidRPr="00160D6A">
        <w:rPr>
          <w:b/>
          <w:u w:val="single"/>
          <w:lang w:val="en-US"/>
        </w:rPr>
        <w:t xml:space="preserve">Requirements </w:t>
      </w:r>
    </w:p>
    <w:p w14:paraId="7B629E6E" w14:textId="77777777" w:rsidR="00160D6A" w:rsidRPr="00160D6A" w:rsidRDefault="00160D6A" w:rsidP="00160D6A">
      <w:pPr>
        <w:rPr>
          <w:lang w:val="en-US"/>
        </w:rPr>
      </w:pPr>
    </w:p>
    <w:p w14:paraId="1164D355" w14:textId="77777777" w:rsidR="00160D6A" w:rsidRPr="00160D6A" w:rsidRDefault="00160D6A" w:rsidP="00160D6A">
      <w:pPr>
        <w:rPr>
          <w:lang w:val="en-US"/>
        </w:rPr>
      </w:pPr>
      <w:r w:rsidRPr="00160D6A">
        <w:rPr>
          <w:lang w:val="en-US"/>
        </w:rPr>
        <w:t xml:space="preserve">Applicants must use </w:t>
      </w:r>
      <w:r w:rsidRPr="00160D6A">
        <w:rPr>
          <w:u w:val="single"/>
          <w:lang w:val="en-US"/>
        </w:rPr>
        <w:t>Attachment B, Technical Application Format</w:t>
      </w:r>
      <w:r w:rsidRPr="00160D6A">
        <w:rPr>
          <w:lang w:val="en-US"/>
        </w:rPr>
        <w:t xml:space="preserve">, to </w:t>
      </w:r>
      <w:proofErr w:type="gramStart"/>
      <w:r w:rsidRPr="00160D6A">
        <w:rPr>
          <w:lang w:val="en-US"/>
        </w:rPr>
        <w:t>submit an application</w:t>
      </w:r>
      <w:proofErr w:type="gramEnd"/>
      <w:r w:rsidRPr="00160D6A">
        <w:rPr>
          <w:lang w:val="en-US"/>
        </w:rPr>
        <w:t xml:space="preserve">. Instructions for submission are described in more detail in </w:t>
      </w:r>
      <w:r w:rsidRPr="00160D6A">
        <w:rPr>
          <w:u w:val="single"/>
          <w:lang w:val="en-US"/>
        </w:rPr>
        <w:t xml:space="preserve">SECTION III </w:t>
      </w:r>
      <w:r w:rsidRPr="00160D6A">
        <w:rPr>
          <w:lang w:val="en-US"/>
        </w:rPr>
        <w:t xml:space="preserve">of this RFA. </w:t>
      </w:r>
    </w:p>
    <w:p w14:paraId="640C109C" w14:textId="77777777" w:rsidR="00160D6A" w:rsidRPr="00160D6A" w:rsidRDefault="00160D6A" w:rsidP="00160D6A">
      <w:pPr>
        <w:rPr>
          <w:b/>
          <w:u w:val="single"/>
          <w:lang w:val="en-US"/>
        </w:rPr>
      </w:pPr>
    </w:p>
    <w:p w14:paraId="3DE61B5F" w14:textId="77777777" w:rsidR="00160D6A" w:rsidRPr="00160D6A" w:rsidRDefault="00160D6A" w:rsidP="00160D6A">
      <w:pPr>
        <w:numPr>
          <w:ilvl w:val="0"/>
          <w:numId w:val="1"/>
        </w:numPr>
        <w:rPr>
          <w:b/>
          <w:u w:val="single"/>
          <w:lang w:val="en-US"/>
        </w:rPr>
      </w:pPr>
      <w:r w:rsidRPr="00160D6A">
        <w:rPr>
          <w:b/>
          <w:u w:val="single"/>
          <w:lang w:val="en-US"/>
        </w:rPr>
        <w:t>Anticipated Outcomes</w:t>
      </w:r>
    </w:p>
    <w:p w14:paraId="3FB4D82A" w14:textId="77777777" w:rsidR="00160D6A" w:rsidRPr="00160D6A" w:rsidRDefault="00160D6A" w:rsidP="00160D6A">
      <w:pPr>
        <w:rPr>
          <w:lang w:val="en-US"/>
        </w:rPr>
      </w:pPr>
    </w:p>
    <w:p w14:paraId="17D59622" w14:textId="77777777" w:rsidR="00160D6A" w:rsidRPr="00160D6A" w:rsidRDefault="00160D6A" w:rsidP="00160D6A">
      <w:pPr>
        <w:numPr>
          <w:ilvl w:val="0"/>
          <w:numId w:val="8"/>
        </w:numPr>
        <w:rPr>
          <w:lang w:val="en-US"/>
        </w:rPr>
      </w:pPr>
      <w:r w:rsidRPr="00160D6A">
        <w:rPr>
          <w:lang w:val="en-US"/>
        </w:rPr>
        <w:t xml:space="preserve">Increased breastfeeding rates, dietary diversity, and meal frequency among children 6 - 23 months.  </w:t>
      </w:r>
    </w:p>
    <w:p w14:paraId="77ED45C7" w14:textId="77777777" w:rsidR="00160D6A" w:rsidRPr="00160D6A" w:rsidRDefault="00160D6A" w:rsidP="00160D6A">
      <w:pPr>
        <w:numPr>
          <w:ilvl w:val="0"/>
          <w:numId w:val="8"/>
        </w:numPr>
        <w:rPr>
          <w:lang w:val="en-US"/>
        </w:rPr>
      </w:pPr>
      <w:r w:rsidRPr="00160D6A">
        <w:rPr>
          <w:lang w:val="en-US"/>
        </w:rPr>
        <w:t>Reduction in the prevalence of anemia, underweight, and wasting among children under 5 years and women of reproductive age.</w:t>
      </w:r>
    </w:p>
    <w:p w14:paraId="649AE2AB" w14:textId="77777777" w:rsidR="00160D6A" w:rsidRPr="00160D6A" w:rsidRDefault="00160D6A" w:rsidP="00160D6A">
      <w:pPr>
        <w:numPr>
          <w:ilvl w:val="0"/>
          <w:numId w:val="8"/>
        </w:numPr>
        <w:rPr>
          <w:lang w:val="en-US"/>
        </w:rPr>
      </w:pPr>
      <w:r w:rsidRPr="00160D6A">
        <w:rPr>
          <w:lang w:val="en-US"/>
        </w:rPr>
        <w:t>Improvement in community social protection and responsive care practices of caregivers and early learning for children under 5 years.</w:t>
      </w:r>
    </w:p>
    <w:p w14:paraId="24F6B23C" w14:textId="77777777" w:rsidR="00160D6A" w:rsidRPr="00160D6A" w:rsidRDefault="00160D6A" w:rsidP="00160D6A">
      <w:pPr>
        <w:numPr>
          <w:ilvl w:val="0"/>
          <w:numId w:val="8"/>
        </w:numPr>
        <w:rPr>
          <w:lang w:val="en-US"/>
        </w:rPr>
      </w:pPr>
      <w:r w:rsidRPr="00160D6A">
        <w:rPr>
          <w:lang w:val="en-US"/>
        </w:rPr>
        <w:t>Increased awareness and uptake of family planning methods</w:t>
      </w:r>
    </w:p>
    <w:p w14:paraId="272061CB" w14:textId="77777777" w:rsidR="00160D6A" w:rsidRPr="00160D6A" w:rsidRDefault="00160D6A" w:rsidP="00160D6A">
      <w:pPr>
        <w:numPr>
          <w:ilvl w:val="0"/>
          <w:numId w:val="8"/>
        </w:numPr>
        <w:rPr>
          <w:lang w:val="en-US"/>
        </w:rPr>
      </w:pPr>
      <w:r w:rsidRPr="00160D6A">
        <w:rPr>
          <w:lang w:val="en-US"/>
        </w:rPr>
        <w:t>Increased ante-natal and post-natal clinic attendance.</w:t>
      </w:r>
    </w:p>
    <w:p w14:paraId="205472DA" w14:textId="77777777" w:rsidR="00160D6A" w:rsidRPr="00160D6A" w:rsidRDefault="00160D6A" w:rsidP="00160D6A">
      <w:pPr>
        <w:numPr>
          <w:ilvl w:val="0"/>
          <w:numId w:val="8"/>
        </w:numPr>
        <w:rPr>
          <w:lang w:val="en-US"/>
        </w:rPr>
      </w:pPr>
      <w:r w:rsidRPr="00160D6A">
        <w:rPr>
          <w:lang w:val="en-US"/>
        </w:rPr>
        <w:t>Increased care-seeking behavior for sick newborns and children under 5 years.</w:t>
      </w:r>
    </w:p>
    <w:p w14:paraId="42CAFD42" w14:textId="77777777" w:rsidR="004C3323" w:rsidRPr="00160D6A" w:rsidRDefault="004C3323">
      <w:pPr>
        <w:rPr>
          <w:lang w:val="en-US"/>
        </w:rPr>
      </w:pPr>
    </w:p>
    <w:sectPr w:rsidR="004C3323" w:rsidRPr="00160D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304C"/>
    <w:multiLevelType w:val="hybridMultilevel"/>
    <w:tmpl w:val="277C4A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C07671"/>
    <w:multiLevelType w:val="multilevel"/>
    <w:tmpl w:val="9D2414C2"/>
    <w:lvl w:ilvl="0">
      <w:start w:val="1"/>
      <w:numFmt w:val="decimal"/>
      <w:lvlText w:val="%1."/>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19B4405F"/>
    <w:multiLevelType w:val="multilevel"/>
    <w:tmpl w:val="5686B9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C27F67"/>
    <w:multiLevelType w:val="multilevel"/>
    <w:tmpl w:val="AF04DFB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349537D"/>
    <w:multiLevelType w:val="hybridMultilevel"/>
    <w:tmpl w:val="43E4F6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6C66953"/>
    <w:multiLevelType w:val="multilevel"/>
    <w:tmpl w:val="D44850DC"/>
    <w:lvl w:ilvl="0">
      <w:start w:val="1"/>
      <w:numFmt w:val="lowerLetter"/>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E1C2810"/>
    <w:multiLevelType w:val="multilevel"/>
    <w:tmpl w:val="E6D2CA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EEC68CF"/>
    <w:multiLevelType w:val="hybridMultilevel"/>
    <w:tmpl w:val="2C7024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828565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8880658">
    <w:abstractNumId w:val="1"/>
    <w:lvlOverride w:ilvl="0">
      <w:startOverride w:val="1"/>
    </w:lvlOverride>
    <w:lvlOverride w:ilvl="1"/>
    <w:lvlOverride w:ilvl="2"/>
    <w:lvlOverride w:ilvl="3"/>
    <w:lvlOverride w:ilvl="4"/>
    <w:lvlOverride w:ilvl="5"/>
    <w:lvlOverride w:ilvl="6"/>
    <w:lvlOverride w:ilvl="7"/>
    <w:lvlOverride w:ilvl="8"/>
  </w:num>
  <w:num w:numId="3" w16cid:durableId="19842636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99896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0506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39121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61598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78709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D6A"/>
    <w:rsid w:val="00160D6A"/>
    <w:rsid w:val="004C3323"/>
    <w:rsid w:val="008D12CD"/>
    <w:rsid w:val="009C3802"/>
  </w:rsids>
  <m:mathPr>
    <m:mathFont m:val="Cambria Math"/>
    <m:brkBin m:val="before"/>
    <m:brkBinSub m:val="--"/>
    <m:smallFrac m:val="0"/>
    <m:dispDef/>
    <m:lMargin m:val="0"/>
    <m:rMargin m:val="0"/>
    <m:defJc m:val="centerGroup"/>
    <m:wrapIndent m:val="1440"/>
    <m:intLim m:val="subSup"/>
    <m:naryLim m:val="undOvr"/>
  </m:mathPr>
  <w:themeFontLang w:val="en-GH"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5C5FB"/>
  <w15:chartTrackingRefBased/>
  <w15:docId w15:val="{EFCC7CA7-7455-4792-AD6B-F8ABA30B8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H"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0D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0D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0D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0D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0D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0D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0D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0D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0D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D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0D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0D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0D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0D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0D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0D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0D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0D6A"/>
    <w:rPr>
      <w:rFonts w:eastAsiaTheme="majorEastAsia" w:cstheme="majorBidi"/>
      <w:color w:val="272727" w:themeColor="text1" w:themeTint="D8"/>
    </w:rPr>
  </w:style>
  <w:style w:type="paragraph" w:styleId="Title">
    <w:name w:val="Title"/>
    <w:basedOn w:val="Normal"/>
    <w:next w:val="Normal"/>
    <w:link w:val="TitleChar"/>
    <w:uiPriority w:val="10"/>
    <w:qFormat/>
    <w:rsid w:val="00160D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0D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0D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0D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0D6A"/>
    <w:pPr>
      <w:spacing w:before="160"/>
      <w:jc w:val="center"/>
    </w:pPr>
    <w:rPr>
      <w:i/>
      <w:iCs/>
      <w:color w:val="404040" w:themeColor="text1" w:themeTint="BF"/>
    </w:rPr>
  </w:style>
  <w:style w:type="character" w:customStyle="1" w:styleId="QuoteChar">
    <w:name w:val="Quote Char"/>
    <w:basedOn w:val="DefaultParagraphFont"/>
    <w:link w:val="Quote"/>
    <w:uiPriority w:val="29"/>
    <w:rsid w:val="00160D6A"/>
    <w:rPr>
      <w:i/>
      <w:iCs/>
      <w:color w:val="404040" w:themeColor="text1" w:themeTint="BF"/>
    </w:rPr>
  </w:style>
  <w:style w:type="paragraph" w:styleId="ListParagraph">
    <w:name w:val="List Paragraph"/>
    <w:basedOn w:val="Normal"/>
    <w:uiPriority w:val="34"/>
    <w:qFormat/>
    <w:rsid w:val="00160D6A"/>
    <w:pPr>
      <w:ind w:left="720"/>
      <w:contextualSpacing/>
    </w:pPr>
  </w:style>
  <w:style w:type="character" w:styleId="IntenseEmphasis">
    <w:name w:val="Intense Emphasis"/>
    <w:basedOn w:val="DefaultParagraphFont"/>
    <w:uiPriority w:val="21"/>
    <w:qFormat/>
    <w:rsid w:val="00160D6A"/>
    <w:rPr>
      <w:i/>
      <w:iCs/>
      <w:color w:val="0F4761" w:themeColor="accent1" w:themeShade="BF"/>
    </w:rPr>
  </w:style>
  <w:style w:type="paragraph" w:styleId="IntenseQuote">
    <w:name w:val="Intense Quote"/>
    <w:basedOn w:val="Normal"/>
    <w:next w:val="Normal"/>
    <w:link w:val="IntenseQuoteChar"/>
    <w:uiPriority w:val="30"/>
    <w:qFormat/>
    <w:rsid w:val="00160D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0D6A"/>
    <w:rPr>
      <w:i/>
      <w:iCs/>
      <w:color w:val="0F4761" w:themeColor="accent1" w:themeShade="BF"/>
    </w:rPr>
  </w:style>
  <w:style w:type="character" w:styleId="IntenseReference">
    <w:name w:val="Intense Reference"/>
    <w:basedOn w:val="DefaultParagraphFont"/>
    <w:uiPriority w:val="32"/>
    <w:qFormat/>
    <w:rsid w:val="00160D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476367">
      <w:bodyDiv w:val="1"/>
      <w:marLeft w:val="0"/>
      <w:marRight w:val="0"/>
      <w:marTop w:val="0"/>
      <w:marBottom w:val="0"/>
      <w:divBdr>
        <w:top w:val="none" w:sz="0" w:space="0" w:color="auto"/>
        <w:left w:val="none" w:sz="0" w:space="0" w:color="auto"/>
        <w:bottom w:val="none" w:sz="0" w:space="0" w:color="auto"/>
        <w:right w:val="none" w:sz="0" w:space="0" w:color="auto"/>
      </w:divBdr>
    </w:div>
    <w:div w:id="207736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862</Words>
  <Characters>4916</Characters>
  <Application>Microsoft Office Word</Application>
  <DocSecurity>0</DocSecurity>
  <Lines>40</Lines>
  <Paragraphs>11</Paragraphs>
  <ScaleCrop>false</ScaleCrop>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Baffour</dc:creator>
  <cp:keywords/>
  <dc:description/>
  <cp:lastModifiedBy>Richard Baffour</cp:lastModifiedBy>
  <cp:revision>1</cp:revision>
  <dcterms:created xsi:type="dcterms:W3CDTF">2024-08-15T07:52:00Z</dcterms:created>
  <dcterms:modified xsi:type="dcterms:W3CDTF">2024-08-15T07:53:00Z</dcterms:modified>
</cp:coreProperties>
</file>