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E548E" w14:textId="77777777" w:rsidR="00715204" w:rsidRPr="00715204" w:rsidRDefault="00715204" w:rsidP="00715204">
      <w:pPr>
        <w:rPr>
          <w:b/>
          <w:u w:val="single"/>
          <w:lang w:val="en-US"/>
        </w:rPr>
      </w:pPr>
      <w:r w:rsidRPr="00715204">
        <w:rPr>
          <w:b/>
          <w:u w:val="single"/>
          <w:lang w:val="en-US"/>
        </w:rPr>
        <w:t>SECTION IV: APPLICATION REVIEW INFORMATION</w:t>
      </w:r>
    </w:p>
    <w:p w14:paraId="13EEA7FA" w14:textId="77777777" w:rsidR="00715204" w:rsidRPr="00715204" w:rsidRDefault="00715204" w:rsidP="00715204">
      <w:pPr>
        <w:rPr>
          <w:lang w:val="en-US"/>
        </w:rPr>
      </w:pPr>
      <w:r w:rsidRPr="00715204">
        <w:rPr>
          <w:lang w:val="en-US"/>
        </w:rPr>
        <w:t>Applications must be fully complete in all aspects in each step. An application may not be considered if it is received after the submission deadline. Costs associated with the preparation of the application shall be at the expense of the applicant.</w:t>
      </w:r>
    </w:p>
    <w:p w14:paraId="45AED3DF" w14:textId="77777777" w:rsidR="00715204" w:rsidRPr="00715204" w:rsidRDefault="00715204" w:rsidP="00715204">
      <w:pPr>
        <w:rPr>
          <w:lang w:val="en-US"/>
        </w:rPr>
      </w:pPr>
    </w:p>
    <w:p w14:paraId="5F02F8BD" w14:textId="77777777" w:rsidR="00715204" w:rsidRPr="00715204" w:rsidRDefault="00715204" w:rsidP="00715204">
      <w:pPr>
        <w:rPr>
          <w:lang w:val="en-US"/>
        </w:rPr>
      </w:pPr>
      <w:r w:rsidRPr="00715204">
        <w:rPr>
          <w:lang w:val="en-US"/>
        </w:rPr>
        <w:t>This RFA includes a single-stage review and selection process, which includes the following elements:</w:t>
      </w:r>
    </w:p>
    <w:p w14:paraId="100D45A0" w14:textId="77777777" w:rsidR="00715204" w:rsidRPr="00715204" w:rsidRDefault="00715204" w:rsidP="00715204">
      <w:pPr>
        <w:numPr>
          <w:ilvl w:val="2"/>
          <w:numId w:val="1"/>
        </w:numPr>
        <w:rPr>
          <w:lang w:val="en-US"/>
        </w:rPr>
      </w:pPr>
      <w:r w:rsidRPr="00715204">
        <w:rPr>
          <w:lang w:val="en-US"/>
        </w:rPr>
        <w:t xml:space="preserve">Review and evaluation of applications </w:t>
      </w:r>
    </w:p>
    <w:p w14:paraId="6834D23B" w14:textId="77777777" w:rsidR="00715204" w:rsidRPr="00715204" w:rsidRDefault="00715204" w:rsidP="00715204">
      <w:pPr>
        <w:numPr>
          <w:ilvl w:val="2"/>
          <w:numId w:val="1"/>
        </w:numPr>
        <w:rPr>
          <w:lang w:val="en-US"/>
        </w:rPr>
      </w:pPr>
      <w:r w:rsidRPr="00715204">
        <w:rPr>
          <w:lang w:val="en-US"/>
        </w:rPr>
        <w:t>Selection and notification of apparently successful applicant(s)</w:t>
      </w:r>
    </w:p>
    <w:p w14:paraId="4D7209BC" w14:textId="77777777" w:rsidR="00715204" w:rsidRPr="00715204" w:rsidRDefault="00715204" w:rsidP="00715204">
      <w:pPr>
        <w:rPr>
          <w:lang w:val="en-US"/>
        </w:rPr>
      </w:pPr>
    </w:p>
    <w:p w14:paraId="2AEC4525" w14:textId="77777777" w:rsidR="00715204" w:rsidRPr="00715204" w:rsidRDefault="00715204" w:rsidP="00715204">
      <w:pPr>
        <w:rPr>
          <w:lang w:val="en-US"/>
        </w:rPr>
      </w:pPr>
      <w:r w:rsidRPr="00715204">
        <w:rPr>
          <w:b/>
          <w:lang w:val="en-US"/>
        </w:rPr>
        <w:t>PRE-APPLICATION QUESTIONS</w:t>
      </w:r>
    </w:p>
    <w:p w14:paraId="452559BC" w14:textId="77777777" w:rsidR="00715204" w:rsidRPr="00715204" w:rsidRDefault="00715204" w:rsidP="00715204">
      <w:pPr>
        <w:rPr>
          <w:lang w:val="en-US"/>
        </w:rPr>
      </w:pPr>
      <w:r w:rsidRPr="00715204">
        <w:rPr>
          <w:lang w:val="en-US"/>
        </w:rPr>
        <w:t xml:space="preserve">The purpose of this is to provide answers to prospective Applicants about the grants program, and the RFA process, and to respond to questions or concerns that applicants are not clear. If you have any questions about this RFA, you may submit them in writing to </w:t>
      </w:r>
      <w:bookmarkStart w:id="0" w:name="_Hlk134430848"/>
      <w:r w:rsidRPr="00715204">
        <w:rPr>
          <w:lang w:val="en-US"/>
        </w:rPr>
        <w:fldChar w:fldCharType="begin"/>
      </w:r>
      <w:r w:rsidRPr="00715204">
        <w:rPr>
          <w:lang w:val="en-US"/>
        </w:rPr>
        <w:instrText>HYPERLINK "mailto:ftfring_grants@abtglobal.com"</w:instrText>
      </w:r>
      <w:r w:rsidRPr="00715204">
        <w:rPr>
          <w:lang w:val="en-US"/>
        </w:rPr>
      </w:r>
      <w:r w:rsidRPr="00715204">
        <w:rPr>
          <w:lang w:val="en-US"/>
        </w:rPr>
        <w:fldChar w:fldCharType="separate"/>
      </w:r>
      <w:r w:rsidRPr="00715204">
        <w:rPr>
          <w:rStyle w:val="Hyperlink"/>
          <w:lang w:val="en-US"/>
        </w:rPr>
        <w:t>ftfring_grants@abtglobal.com</w:t>
      </w:r>
      <w:r w:rsidRPr="00715204">
        <w:fldChar w:fldCharType="end"/>
      </w:r>
      <w:r w:rsidRPr="00715204">
        <w:rPr>
          <w:lang w:val="en-US"/>
        </w:rPr>
        <w:t xml:space="preserve"> </w:t>
      </w:r>
      <w:bookmarkEnd w:id="0"/>
      <w:r w:rsidRPr="00715204">
        <w:rPr>
          <w:lang w:val="en-US"/>
        </w:rPr>
        <w:t xml:space="preserve">between August 16-29, 2024. Only written answers from Abt </w:t>
      </w:r>
      <w:proofErr w:type="spellStart"/>
      <w:r w:rsidRPr="00715204">
        <w:rPr>
          <w:lang w:val="en-US"/>
        </w:rPr>
        <w:t>Global’s</w:t>
      </w:r>
      <w:proofErr w:type="spellEnd"/>
      <w:r w:rsidRPr="00715204">
        <w:rPr>
          <w:lang w:val="en-US"/>
        </w:rPr>
        <w:t xml:space="preserve"> authorized representative should be considered official and carry weight in the RFA process and subsequent evaluation. Any answers received outside the official channel, whether received verbally or in writing, and whether from employees of Abt Global or another party, should not be considered official responses regarding this RFA.</w:t>
      </w:r>
    </w:p>
    <w:p w14:paraId="44F04B1A" w14:textId="77777777" w:rsidR="00715204" w:rsidRPr="00715204" w:rsidRDefault="00715204" w:rsidP="00715204">
      <w:pPr>
        <w:rPr>
          <w:b/>
          <w:lang w:val="en-US"/>
        </w:rPr>
      </w:pPr>
    </w:p>
    <w:p w14:paraId="517DFB10" w14:textId="77777777" w:rsidR="00715204" w:rsidRPr="00715204" w:rsidRDefault="00715204" w:rsidP="00715204">
      <w:pPr>
        <w:rPr>
          <w:b/>
          <w:lang w:val="en-US"/>
        </w:rPr>
      </w:pPr>
      <w:r w:rsidRPr="00715204">
        <w:rPr>
          <w:b/>
          <w:lang w:val="en-US"/>
        </w:rPr>
        <w:t>EVALUATION OF FULL APPLICATIONS</w:t>
      </w:r>
    </w:p>
    <w:p w14:paraId="69156DC0" w14:textId="77777777" w:rsidR="00715204" w:rsidRPr="00715204" w:rsidRDefault="00715204" w:rsidP="00715204">
      <w:pPr>
        <w:rPr>
          <w:b/>
          <w:u w:val="single"/>
          <w:lang w:val="en-US"/>
        </w:rPr>
      </w:pPr>
      <w:r w:rsidRPr="00715204">
        <w:rPr>
          <w:lang w:val="en-US"/>
        </w:rPr>
        <w:t xml:space="preserve">Feed the Future Resilience in Northern Ghana Systems Strengthening Activity intends to issue up to a minimum of seventeen (17) grants to the organization(s) considered to have the best Technical Approach, Methodology, Strategic Fit, Organizational Capabilities, and Past Performance, Gender and Youth Considerations, and Cost Effectiveness for the overall project. The criteria below will serve as the basis upon which each application will be evaluated. Selection will also be based on the capabilities of the organizations as detailed in the application. </w:t>
      </w:r>
    </w:p>
    <w:p w14:paraId="76204FE4" w14:textId="77777777" w:rsidR="00715204" w:rsidRPr="00715204" w:rsidRDefault="00715204" w:rsidP="00715204">
      <w:pPr>
        <w:rPr>
          <w:b/>
          <w:u w:val="single"/>
          <w:lang w:val="en-US"/>
        </w:rPr>
      </w:pPr>
      <w:r w:rsidRPr="00715204">
        <w:rPr>
          <w:b/>
          <w:u w:val="single"/>
          <w:lang w:val="en-US"/>
        </w:rPr>
        <w:t>Evaluation Criteria</w:t>
      </w:r>
    </w:p>
    <w:p w14:paraId="50A5C24E" w14:textId="77777777" w:rsidR="00715204" w:rsidRPr="00715204" w:rsidRDefault="00715204" w:rsidP="00715204">
      <w:pPr>
        <w:rPr>
          <w:lang w:val="en-US"/>
        </w:rPr>
      </w:pPr>
      <w:r w:rsidRPr="00715204">
        <w:rPr>
          <w:lang w:val="en-US"/>
        </w:rPr>
        <w:t>The technical applications will be evaluated according to the following criteria, which are listed in order of importance, with the most important listed first. Additional details are included below.</w:t>
      </w:r>
    </w:p>
    <w:p w14:paraId="021C1A82" w14:textId="77777777" w:rsidR="00715204" w:rsidRPr="00715204" w:rsidRDefault="00715204" w:rsidP="00715204">
      <w:pPr>
        <w:rPr>
          <w:lang w:val="en-US"/>
        </w:rPr>
      </w:pPr>
    </w:p>
    <w:tbl>
      <w:tblPr>
        <w:tblW w:w="8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84"/>
        <w:gridCol w:w="4161"/>
      </w:tblGrid>
      <w:tr w:rsidR="00715204" w:rsidRPr="00715204" w14:paraId="27E8EBE6" w14:textId="77777777" w:rsidTr="00715204">
        <w:trPr>
          <w:cantSplit/>
          <w:trHeight w:val="215"/>
        </w:trPr>
        <w:tc>
          <w:tcPr>
            <w:tcW w:w="4286" w:type="dxa"/>
            <w:tcBorders>
              <w:top w:val="single" w:sz="4" w:space="0" w:color="000000"/>
              <w:left w:val="nil"/>
              <w:bottom w:val="single" w:sz="4" w:space="0" w:color="000000"/>
              <w:right w:val="single" w:sz="4" w:space="0" w:color="000000"/>
            </w:tcBorders>
            <w:shd w:val="clear" w:color="auto" w:fill="999999"/>
            <w:vAlign w:val="center"/>
            <w:hideMark/>
          </w:tcPr>
          <w:p w14:paraId="0B319D7C" w14:textId="77777777" w:rsidR="00715204" w:rsidRPr="00715204" w:rsidRDefault="00715204" w:rsidP="00715204">
            <w:pPr>
              <w:rPr>
                <w:b/>
                <w:lang w:val="en-US"/>
              </w:rPr>
            </w:pPr>
            <w:r w:rsidRPr="00715204">
              <w:rPr>
                <w:b/>
                <w:lang w:val="en-US"/>
              </w:rPr>
              <w:t>Criteria</w:t>
            </w:r>
          </w:p>
        </w:tc>
        <w:tc>
          <w:tcPr>
            <w:tcW w:w="4163" w:type="dxa"/>
            <w:tcBorders>
              <w:top w:val="single" w:sz="4" w:space="0" w:color="000000"/>
              <w:left w:val="single" w:sz="4" w:space="0" w:color="000000"/>
              <w:bottom w:val="single" w:sz="4" w:space="0" w:color="000000"/>
              <w:right w:val="nil"/>
            </w:tcBorders>
            <w:shd w:val="clear" w:color="auto" w:fill="999999"/>
            <w:vAlign w:val="center"/>
            <w:hideMark/>
          </w:tcPr>
          <w:p w14:paraId="097350A1" w14:textId="77777777" w:rsidR="00715204" w:rsidRPr="00715204" w:rsidRDefault="00715204" w:rsidP="00715204">
            <w:pPr>
              <w:rPr>
                <w:b/>
                <w:lang w:val="en-US"/>
              </w:rPr>
            </w:pPr>
            <w:r w:rsidRPr="00715204">
              <w:rPr>
                <w:b/>
                <w:lang w:val="en-US"/>
              </w:rPr>
              <w:t>Maximum Points (100 total)</w:t>
            </w:r>
          </w:p>
        </w:tc>
      </w:tr>
      <w:tr w:rsidR="00715204" w:rsidRPr="00715204" w14:paraId="1597AEE1" w14:textId="77777777" w:rsidTr="00715204">
        <w:trPr>
          <w:cantSplit/>
          <w:trHeight w:val="152"/>
        </w:trPr>
        <w:tc>
          <w:tcPr>
            <w:tcW w:w="4286" w:type="dxa"/>
            <w:tcBorders>
              <w:top w:val="single" w:sz="4" w:space="0" w:color="000000"/>
              <w:left w:val="nil"/>
              <w:bottom w:val="single" w:sz="4" w:space="0" w:color="000000"/>
              <w:right w:val="single" w:sz="4" w:space="0" w:color="000000"/>
            </w:tcBorders>
            <w:hideMark/>
          </w:tcPr>
          <w:p w14:paraId="2DAEA2B6" w14:textId="77777777" w:rsidR="00715204" w:rsidRPr="00715204" w:rsidRDefault="00715204" w:rsidP="00715204">
            <w:pPr>
              <w:numPr>
                <w:ilvl w:val="0"/>
                <w:numId w:val="2"/>
              </w:numPr>
              <w:rPr>
                <w:lang w:val="en-US"/>
              </w:rPr>
            </w:pPr>
            <w:r w:rsidRPr="00715204">
              <w:rPr>
                <w:lang w:val="en-US"/>
              </w:rPr>
              <w:t>Technical Approach &amp; Methodology</w:t>
            </w:r>
          </w:p>
        </w:tc>
        <w:tc>
          <w:tcPr>
            <w:tcW w:w="4163" w:type="dxa"/>
            <w:tcBorders>
              <w:top w:val="single" w:sz="4" w:space="0" w:color="000000"/>
              <w:left w:val="single" w:sz="4" w:space="0" w:color="000000"/>
              <w:bottom w:val="single" w:sz="4" w:space="0" w:color="000000"/>
              <w:right w:val="nil"/>
            </w:tcBorders>
            <w:hideMark/>
          </w:tcPr>
          <w:p w14:paraId="1FA4EFFE" w14:textId="77777777" w:rsidR="00715204" w:rsidRPr="00715204" w:rsidRDefault="00715204" w:rsidP="00715204">
            <w:pPr>
              <w:rPr>
                <w:lang w:val="en-US"/>
              </w:rPr>
            </w:pPr>
            <w:r w:rsidRPr="00715204">
              <w:rPr>
                <w:lang w:val="en-US"/>
              </w:rPr>
              <w:t xml:space="preserve">30 points </w:t>
            </w:r>
          </w:p>
        </w:tc>
      </w:tr>
      <w:tr w:rsidR="00715204" w:rsidRPr="00715204" w14:paraId="16260EB8" w14:textId="77777777" w:rsidTr="00715204">
        <w:trPr>
          <w:cantSplit/>
        </w:trPr>
        <w:tc>
          <w:tcPr>
            <w:tcW w:w="4286" w:type="dxa"/>
            <w:tcBorders>
              <w:top w:val="single" w:sz="4" w:space="0" w:color="000000"/>
              <w:left w:val="nil"/>
              <w:bottom w:val="single" w:sz="4" w:space="0" w:color="000000"/>
              <w:right w:val="single" w:sz="4" w:space="0" w:color="000000"/>
            </w:tcBorders>
            <w:hideMark/>
          </w:tcPr>
          <w:p w14:paraId="771CABC7" w14:textId="77777777" w:rsidR="00715204" w:rsidRPr="00715204" w:rsidRDefault="00715204" w:rsidP="00715204">
            <w:pPr>
              <w:numPr>
                <w:ilvl w:val="0"/>
                <w:numId w:val="2"/>
              </w:numPr>
              <w:rPr>
                <w:lang w:val="en-US"/>
              </w:rPr>
            </w:pPr>
            <w:r w:rsidRPr="00715204">
              <w:rPr>
                <w:lang w:val="en-US"/>
              </w:rPr>
              <w:t>Strategic Fit</w:t>
            </w:r>
          </w:p>
        </w:tc>
        <w:tc>
          <w:tcPr>
            <w:tcW w:w="4163" w:type="dxa"/>
            <w:tcBorders>
              <w:top w:val="single" w:sz="4" w:space="0" w:color="000000"/>
              <w:left w:val="single" w:sz="4" w:space="0" w:color="000000"/>
              <w:bottom w:val="single" w:sz="4" w:space="0" w:color="000000"/>
              <w:right w:val="nil"/>
            </w:tcBorders>
            <w:hideMark/>
          </w:tcPr>
          <w:p w14:paraId="21F6DA6B" w14:textId="77777777" w:rsidR="00715204" w:rsidRPr="00715204" w:rsidRDefault="00715204" w:rsidP="00715204">
            <w:pPr>
              <w:rPr>
                <w:lang w:val="en-US"/>
              </w:rPr>
            </w:pPr>
            <w:r w:rsidRPr="00715204">
              <w:rPr>
                <w:lang w:val="en-US"/>
              </w:rPr>
              <w:t xml:space="preserve">30 points </w:t>
            </w:r>
          </w:p>
        </w:tc>
      </w:tr>
      <w:tr w:rsidR="00715204" w:rsidRPr="00715204" w14:paraId="1742C2F0" w14:textId="77777777" w:rsidTr="00715204">
        <w:trPr>
          <w:cantSplit/>
        </w:trPr>
        <w:tc>
          <w:tcPr>
            <w:tcW w:w="4286" w:type="dxa"/>
            <w:tcBorders>
              <w:top w:val="single" w:sz="4" w:space="0" w:color="000000"/>
              <w:left w:val="nil"/>
              <w:bottom w:val="single" w:sz="4" w:space="0" w:color="000000"/>
              <w:right w:val="single" w:sz="4" w:space="0" w:color="000000"/>
            </w:tcBorders>
            <w:hideMark/>
          </w:tcPr>
          <w:p w14:paraId="4D0F6622" w14:textId="77777777" w:rsidR="00715204" w:rsidRPr="00715204" w:rsidRDefault="00715204" w:rsidP="00715204">
            <w:pPr>
              <w:numPr>
                <w:ilvl w:val="0"/>
                <w:numId w:val="2"/>
              </w:numPr>
              <w:rPr>
                <w:lang w:val="en-US"/>
              </w:rPr>
            </w:pPr>
            <w:r w:rsidRPr="00715204">
              <w:rPr>
                <w:lang w:val="en-US"/>
              </w:rPr>
              <w:t>Organizational Capabilities</w:t>
            </w:r>
          </w:p>
        </w:tc>
        <w:tc>
          <w:tcPr>
            <w:tcW w:w="4163" w:type="dxa"/>
            <w:tcBorders>
              <w:top w:val="single" w:sz="4" w:space="0" w:color="000000"/>
              <w:left w:val="single" w:sz="4" w:space="0" w:color="000000"/>
              <w:bottom w:val="single" w:sz="4" w:space="0" w:color="000000"/>
              <w:right w:val="nil"/>
            </w:tcBorders>
            <w:hideMark/>
          </w:tcPr>
          <w:p w14:paraId="62CE1684" w14:textId="77777777" w:rsidR="00715204" w:rsidRPr="00715204" w:rsidRDefault="00715204" w:rsidP="00715204">
            <w:pPr>
              <w:rPr>
                <w:lang w:val="en-US"/>
              </w:rPr>
            </w:pPr>
            <w:r w:rsidRPr="00715204">
              <w:rPr>
                <w:lang w:val="en-US"/>
              </w:rPr>
              <w:t>25 points</w:t>
            </w:r>
          </w:p>
        </w:tc>
      </w:tr>
      <w:tr w:rsidR="00715204" w:rsidRPr="00715204" w14:paraId="1A70E1D1" w14:textId="77777777" w:rsidTr="00715204">
        <w:trPr>
          <w:cantSplit/>
        </w:trPr>
        <w:tc>
          <w:tcPr>
            <w:tcW w:w="4286" w:type="dxa"/>
            <w:tcBorders>
              <w:top w:val="single" w:sz="4" w:space="0" w:color="000000"/>
              <w:left w:val="nil"/>
              <w:bottom w:val="single" w:sz="4" w:space="0" w:color="000000"/>
              <w:right w:val="single" w:sz="4" w:space="0" w:color="000000"/>
            </w:tcBorders>
            <w:hideMark/>
          </w:tcPr>
          <w:p w14:paraId="773D23C3" w14:textId="77777777" w:rsidR="00715204" w:rsidRPr="00715204" w:rsidRDefault="00715204" w:rsidP="00715204">
            <w:pPr>
              <w:numPr>
                <w:ilvl w:val="0"/>
                <w:numId w:val="2"/>
              </w:numPr>
              <w:rPr>
                <w:lang w:val="en-US"/>
              </w:rPr>
            </w:pPr>
            <w:r w:rsidRPr="00715204">
              <w:rPr>
                <w:lang w:val="en-US"/>
              </w:rPr>
              <w:lastRenderedPageBreak/>
              <w:t xml:space="preserve">Gender and Youth Considerations </w:t>
            </w:r>
          </w:p>
        </w:tc>
        <w:tc>
          <w:tcPr>
            <w:tcW w:w="4163" w:type="dxa"/>
            <w:tcBorders>
              <w:top w:val="single" w:sz="4" w:space="0" w:color="000000"/>
              <w:left w:val="single" w:sz="4" w:space="0" w:color="000000"/>
              <w:bottom w:val="single" w:sz="4" w:space="0" w:color="000000"/>
              <w:right w:val="nil"/>
            </w:tcBorders>
            <w:hideMark/>
          </w:tcPr>
          <w:p w14:paraId="7F91E0FA" w14:textId="77777777" w:rsidR="00715204" w:rsidRPr="00715204" w:rsidRDefault="00715204" w:rsidP="00715204">
            <w:pPr>
              <w:rPr>
                <w:lang w:val="en-US"/>
              </w:rPr>
            </w:pPr>
            <w:r w:rsidRPr="00715204">
              <w:rPr>
                <w:lang w:val="en-US"/>
              </w:rPr>
              <w:t>10 points</w:t>
            </w:r>
          </w:p>
        </w:tc>
      </w:tr>
      <w:tr w:rsidR="00715204" w:rsidRPr="00715204" w14:paraId="4D83A5F5" w14:textId="77777777" w:rsidTr="00715204">
        <w:trPr>
          <w:cantSplit/>
        </w:trPr>
        <w:tc>
          <w:tcPr>
            <w:tcW w:w="4286" w:type="dxa"/>
            <w:tcBorders>
              <w:top w:val="single" w:sz="4" w:space="0" w:color="000000"/>
              <w:left w:val="nil"/>
              <w:bottom w:val="single" w:sz="4" w:space="0" w:color="000000"/>
              <w:right w:val="single" w:sz="4" w:space="0" w:color="000000"/>
            </w:tcBorders>
            <w:hideMark/>
          </w:tcPr>
          <w:p w14:paraId="7793C04D" w14:textId="77777777" w:rsidR="00715204" w:rsidRPr="00715204" w:rsidRDefault="00715204" w:rsidP="00715204">
            <w:pPr>
              <w:numPr>
                <w:ilvl w:val="0"/>
                <w:numId w:val="2"/>
              </w:numPr>
              <w:rPr>
                <w:lang w:val="en-US"/>
              </w:rPr>
            </w:pPr>
            <w:r w:rsidRPr="00715204">
              <w:rPr>
                <w:lang w:val="en-US"/>
              </w:rPr>
              <w:t>Cost Effectiveness</w:t>
            </w:r>
          </w:p>
        </w:tc>
        <w:tc>
          <w:tcPr>
            <w:tcW w:w="4163" w:type="dxa"/>
            <w:tcBorders>
              <w:top w:val="single" w:sz="4" w:space="0" w:color="000000"/>
              <w:left w:val="single" w:sz="4" w:space="0" w:color="000000"/>
              <w:bottom w:val="single" w:sz="4" w:space="0" w:color="000000"/>
              <w:right w:val="nil"/>
            </w:tcBorders>
            <w:hideMark/>
          </w:tcPr>
          <w:p w14:paraId="7A453EB5" w14:textId="77777777" w:rsidR="00715204" w:rsidRPr="00715204" w:rsidRDefault="00715204" w:rsidP="00715204">
            <w:pPr>
              <w:rPr>
                <w:lang w:val="en-US"/>
              </w:rPr>
            </w:pPr>
            <w:r w:rsidRPr="00715204">
              <w:rPr>
                <w:lang w:val="en-US"/>
              </w:rPr>
              <w:t xml:space="preserve">5 points </w:t>
            </w:r>
          </w:p>
        </w:tc>
      </w:tr>
    </w:tbl>
    <w:p w14:paraId="4E8279C0" w14:textId="77777777" w:rsidR="00715204" w:rsidRPr="00715204" w:rsidRDefault="00715204" w:rsidP="00715204">
      <w:pPr>
        <w:rPr>
          <w:lang w:val="en-US"/>
        </w:rPr>
      </w:pPr>
      <w:r w:rsidRPr="00715204">
        <w:rPr>
          <w:i/>
          <w:lang w:val="en-US"/>
        </w:rPr>
        <w:t>*Applicants must receive an average score of 75 points or higher to proceed in the grant process</w:t>
      </w:r>
    </w:p>
    <w:p w14:paraId="7E859B1B" w14:textId="77777777" w:rsidR="00715204" w:rsidRPr="00715204" w:rsidRDefault="00715204" w:rsidP="00715204">
      <w:pPr>
        <w:rPr>
          <w:lang w:val="en-US"/>
        </w:rPr>
      </w:pPr>
    </w:p>
    <w:p w14:paraId="669C4B46" w14:textId="77777777" w:rsidR="00715204" w:rsidRPr="00715204" w:rsidRDefault="00715204" w:rsidP="00715204">
      <w:pPr>
        <w:rPr>
          <w:b/>
          <w:lang w:val="en-US"/>
        </w:rPr>
      </w:pPr>
      <w:r w:rsidRPr="00715204">
        <w:rPr>
          <w:b/>
          <w:lang w:val="en-US"/>
        </w:rPr>
        <w:t>TECHNICAL APPROACH &amp; METHODOLOGY (30 points):</w:t>
      </w:r>
    </w:p>
    <w:p w14:paraId="1500AEFF" w14:textId="77777777" w:rsidR="00715204" w:rsidRPr="00715204" w:rsidRDefault="00715204" w:rsidP="00715204">
      <w:pPr>
        <w:rPr>
          <w:lang w:val="en-US"/>
        </w:rPr>
      </w:pPr>
      <w:r w:rsidRPr="00715204">
        <w:rPr>
          <w:lang w:val="en-US"/>
        </w:rPr>
        <w:t>Technical approach and methodology criteria include:</w:t>
      </w:r>
    </w:p>
    <w:p w14:paraId="56463C0F" w14:textId="77777777" w:rsidR="00715204" w:rsidRPr="00715204" w:rsidRDefault="00715204" w:rsidP="00715204">
      <w:pPr>
        <w:rPr>
          <w:lang w:val="en-US"/>
        </w:rPr>
      </w:pPr>
      <w:r w:rsidRPr="00715204">
        <w:rPr>
          <w:lang w:val="en-US"/>
        </w:rPr>
        <w:t>A clearly defined problem statement (proposed services to the target population demonstrate an understanding of local needs and provide appropriate assistance).</w:t>
      </w:r>
    </w:p>
    <w:p w14:paraId="5F7AF9F8" w14:textId="77777777" w:rsidR="00715204" w:rsidRPr="00715204" w:rsidRDefault="00715204" w:rsidP="00715204">
      <w:pPr>
        <w:rPr>
          <w:lang w:val="en-US"/>
        </w:rPr>
      </w:pPr>
      <w:r w:rsidRPr="00715204">
        <w:rPr>
          <w:lang w:val="en-US"/>
        </w:rPr>
        <w:t>Goals are clearly outlined and contribute toward the project's overall objectives.</w:t>
      </w:r>
    </w:p>
    <w:p w14:paraId="0BD475DD" w14:textId="77777777" w:rsidR="00715204" w:rsidRPr="00715204" w:rsidRDefault="00715204" w:rsidP="00715204">
      <w:pPr>
        <w:rPr>
          <w:lang w:val="en-US"/>
        </w:rPr>
      </w:pPr>
      <w:r w:rsidRPr="00715204">
        <w:rPr>
          <w:lang w:val="en-US"/>
        </w:rPr>
        <w:t>There is a clear and practical relationship between the defined problem and the solution proposed.</w:t>
      </w:r>
    </w:p>
    <w:p w14:paraId="70BA5FCC" w14:textId="77777777" w:rsidR="00715204" w:rsidRPr="00715204" w:rsidRDefault="00715204" w:rsidP="00715204">
      <w:pPr>
        <w:rPr>
          <w:lang w:val="en-US"/>
        </w:rPr>
      </w:pPr>
      <w:r w:rsidRPr="00715204">
        <w:rPr>
          <w:lang w:val="en-US"/>
        </w:rPr>
        <w:t>The technical approach is innovative, cost-effective, transformative, and sustainable.</w:t>
      </w:r>
    </w:p>
    <w:p w14:paraId="38F9FE02" w14:textId="77777777" w:rsidR="00715204" w:rsidRPr="00715204" w:rsidRDefault="00715204" w:rsidP="00715204">
      <w:pPr>
        <w:rPr>
          <w:lang w:val="en-US"/>
        </w:rPr>
      </w:pPr>
      <w:r w:rsidRPr="00715204">
        <w:rPr>
          <w:lang w:val="en-US"/>
        </w:rPr>
        <w:t>Innovative products, services, and financing mechanisms are included.</w:t>
      </w:r>
    </w:p>
    <w:p w14:paraId="699277F4" w14:textId="77777777" w:rsidR="00715204" w:rsidRPr="00715204" w:rsidRDefault="00715204" w:rsidP="00715204">
      <w:pPr>
        <w:rPr>
          <w:lang w:val="en-US"/>
        </w:rPr>
      </w:pPr>
      <w:bookmarkStart w:id="1" w:name="_heading=h.3rdcrjn"/>
      <w:bookmarkEnd w:id="1"/>
      <w:r w:rsidRPr="00715204">
        <w:rPr>
          <w:lang w:val="en-US"/>
        </w:rPr>
        <w:t>The proposed plan is realistic and demonstrates that the organization is moving toward self-sufficiency (e.g., sustainability).</w:t>
      </w:r>
    </w:p>
    <w:p w14:paraId="3310B4B1" w14:textId="77777777" w:rsidR="00715204" w:rsidRPr="00715204" w:rsidRDefault="00715204" w:rsidP="00715204">
      <w:pPr>
        <w:rPr>
          <w:lang w:val="en-US"/>
        </w:rPr>
      </w:pPr>
      <w:r w:rsidRPr="00715204">
        <w:rPr>
          <w:lang w:val="en-US"/>
        </w:rPr>
        <w:t>Potential obstacles are identified, and solutions sufficiently addressed.</w:t>
      </w:r>
    </w:p>
    <w:p w14:paraId="22F0B71B" w14:textId="77777777" w:rsidR="00715204" w:rsidRPr="00715204" w:rsidRDefault="00715204" w:rsidP="00715204">
      <w:pPr>
        <w:rPr>
          <w:lang w:val="en-US"/>
        </w:rPr>
      </w:pPr>
      <w:r w:rsidRPr="00715204">
        <w:rPr>
          <w:lang w:val="en-US"/>
        </w:rPr>
        <w:t xml:space="preserve">A grant sustainability plan is in place with future actions that the grantee will take to ensure lasting results of the </w:t>
      </w:r>
      <w:proofErr w:type="gramStart"/>
      <w:r w:rsidRPr="00715204">
        <w:rPr>
          <w:lang w:val="en-US"/>
        </w:rPr>
        <w:t>grant-funded</w:t>
      </w:r>
      <w:proofErr w:type="gramEnd"/>
      <w:r w:rsidRPr="00715204">
        <w:rPr>
          <w:lang w:val="en-US"/>
        </w:rPr>
        <w:t>.</w:t>
      </w:r>
    </w:p>
    <w:p w14:paraId="07AD4142" w14:textId="77777777" w:rsidR="00715204" w:rsidRPr="00715204" w:rsidRDefault="00715204" w:rsidP="00715204">
      <w:pPr>
        <w:rPr>
          <w:lang w:val="en-US"/>
        </w:rPr>
      </w:pPr>
      <w:r w:rsidRPr="00715204">
        <w:rPr>
          <w:lang w:val="en-US"/>
        </w:rPr>
        <w:t>Sustainability of results (organization demonstrates a credible plan to reach self-sufficiency in the short to medium term)</w:t>
      </w:r>
    </w:p>
    <w:p w14:paraId="1CAD282B" w14:textId="77777777" w:rsidR="00715204" w:rsidRPr="00715204" w:rsidRDefault="00715204" w:rsidP="00715204">
      <w:pPr>
        <w:rPr>
          <w:lang w:val="en-US"/>
        </w:rPr>
      </w:pPr>
    </w:p>
    <w:p w14:paraId="39EAAD06" w14:textId="77777777" w:rsidR="00715204" w:rsidRPr="00715204" w:rsidRDefault="00715204" w:rsidP="00715204">
      <w:pPr>
        <w:rPr>
          <w:b/>
          <w:lang w:val="en-US"/>
        </w:rPr>
      </w:pPr>
      <w:bookmarkStart w:id="2" w:name="_heading=h.26in1rg"/>
      <w:bookmarkEnd w:id="2"/>
      <w:r w:rsidRPr="00715204">
        <w:rPr>
          <w:b/>
          <w:lang w:val="en-US"/>
        </w:rPr>
        <w:t>STRATEGIC FIT (30 points)</w:t>
      </w:r>
    </w:p>
    <w:p w14:paraId="7AFC89E1" w14:textId="77777777" w:rsidR="00715204" w:rsidRPr="00715204" w:rsidRDefault="00715204" w:rsidP="00715204">
      <w:pPr>
        <w:rPr>
          <w:lang w:val="en-US"/>
        </w:rPr>
      </w:pPr>
      <w:r w:rsidRPr="00715204">
        <w:rPr>
          <w:lang w:val="en-US"/>
        </w:rPr>
        <w:t>Strategic fit criteria include:</w:t>
      </w:r>
    </w:p>
    <w:p w14:paraId="4542809D" w14:textId="77777777" w:rsidR="00715204" w:rsidRPr="00715204" w:rsidRDefault="00715204" w:rsidP="00715204">
      <w:pPr>
        <w:numPr>
          <w:ilvl w:val="0"/>
          <w:numId w:val="3"/>
        </w:numPr>
        <w:rPr>
          <w:lang w:val="en-US"/>
        </w:rPr>
      </w:pPr>
      <w:r w:rsidRPr="00715204">
        <w:rPr>
          <w:lang w:val="en-US"/>
        </w:rPr>
        <w:t>Contribution toward the project's overall objectives</w:t>
      </w:r>
    </w:p>
    <w:p w14:paraId="234CD4E3" w14:textId="77777777" w:rsidR="00715204" w:rsidRPr="00715204" w:rsidRDefault="00715204" w:rsidP="00715204">
      <w:pPr>
        <w:numPr>
          <w:ilvl w:val="0"/>
          <w:numId w:val="3"/>
        </w:numPr>
        <w:rPr>
          <w:lang w:val="en-US"/>
        </w:rPr>
      </w:pPr>
      <w:r w:rsidRPr="00715204">
        <w:rPr>
          <w:lang w:val="en-US"/>
        </w:rPr>
        <w:t>Sustainability of results (organization demonstrates a credible plan to reach self-sufficiency in the short to medium term)</w:t>
      </w:r>
    </w:p>
    <w:p w14:paraId="558FD7BD" w14:textId="77777777" w:rsidR="00715204" w:rsidRPr="00715204" w:rsidRDefault="00715204" w:rsidP="00715204">
      <w:pPr>
        <w:numPr>
          <w:ilvl w:val="0"/>
          <w:numId w:val="3"/>
        </w:numPr>
        <w:rPr>
          <w:lang w:val="en-US"/>
        </w:rPr>
      </w:pPr>
      <w:r w:rsidRPr="00715204">
        <w:rPr>
          <w:lang w:val="en-US"/>
        </w:rPr>
        <w:t>Anticipated benefits to the beneficiaries.</w:t>
      </w:r>
    </w:p>
    <w:p w14:paraId="0A544E3F" w14:textId="77777777" w:rsidR="00715204" w:rsidRPr="00715204" w:rsidRDefault="00715204" w:rsidP="00715204">
      <w:pPr>
        <w:rPr>
          <w:b/>
          <w:lang w:val="en-US"/>
        </w:rPr>
      </w:pPr>
      <w:bookmarkStart w:id="3" w:name="_heading=h.lnxbz9"/>
      <w:bookmarkEnd w:id="3"/>
    </w:p>
    <w:p w14:paraId="5F4A7F88" w14:textId="77777777" w:rsidR="00715204" w:rsidRPr="00715204" w:rsidRDefault="00715204" w:rsidP="00715204">
      <w:pPr>
        <w:rPr>
          <w:b/>
          <w:lang w:val="en-US"/>
        </w:rPr>
      </w:pPr>
      <w:r w:rsidRPr="00715204">
        <w:rPr>
          <w:b/>
          <w:lang w:val="en-US"/>
        </w:rPr>
        <w:t>ORGANIZATIONAL CAPABILITIES AND PAST PERFORMANCE (25 points)</w:t>
      </w:r>
    </w:p>
    <w:p w14:paraId="480B6A89" w14:textId="77777777" w:rsidR="00715204" w:rsidRPr="00715204" w:rsidRDefault="00715204" w:rsidP="00715204">
      <w:pPr>
        <w:rPr>
          <w:lang w:val="en-US"/>
        </w:rPr>
      </w:pPr>
      <w:r w:rsidRPr="00715204">
        <w:rPr>
          <w:lang w:val="en-US"/>
        </w:rPr>
        <w:t>Organizational capabilities criteria include:</w:t>
      </w:r>
    </w:p>
    <w:p w14:paraId="7902D359" w14:textId="77777777" w:rsidR="00715204" w:rsidRPr="00715204" w:rsidRDefault="00715204" w:rsidP="00715204">
      <w:pPr>
        <w:numPr>
          <w:ilvl w:val="0"/>
          <w:numId w:val="3"/>
        </w:numPr>
        <w:rPr>
          <w:lang w:val="en-US"/>
        </w:rPr>
      </w:pPr>
      <w:r w:rsidRPr="00715204">
        <w:rPr>
          <w:lang w:val="en-US"/>
        </w:rPr>
        <w:t>Organizational, financial, and technical capabilities and resources to implement activities.</w:t>
      </w:r>
    </w:p>
    <w:p w14:paraId="7C72E567" w14:textId="77777777" w:rsidR="00715204" w:rsidRPr="00715204" w:rsidRDefault="00715204" w:rsidP="00715204">
      <w:pPr>
        <w:numPr>
          <w:ilvl w:val="0"/>
          <w:numId w:val="3"/>
        </w:numPr>
        <w:rPr>
          <w:lang w:val="en-US"/>
        </w:rPr>
      </w:pPr>
      <w:r w:rsidRPr="00715204">
        <w:rPr>
          <w:lang w:val="en-US"/>
        </w:rPr>
        <w:t>Previous successful experience implementing similar activities.</w:t>
      </w:r>
    </w:p>
    <w:p w14:paraId="5ED7AC28" w14:textId="77777777" w:rsidR="00715204" w:rsidRPr="00715204" w:rsidRDefault="00715204" w:rsidP="00715204">
      <w:pPr>
        <w:numPr>
          <w:ilvl w:val="0"/>
          <w:numId w:val="3"/>
        </w:numPr>
        <w:rPr>
          <w:lang w:val="en-US"/>
        </w:rPr>
      </w:pPr>
      <w:r w:rsidRPr="00715204">
        <w:rPr>
          <w:lang w:val="en-US"/>
        </w:rPr>
        <w:lastRenderedPageBreak/>
        <w:t>Proposed staffing structure and grant award management to allow for successful implementation. Include technical/programmatic and financial/administrative staff.</w:t>
      </w:r>
    </w:p>
    <w:p w14:paraId="12F47198" w14:textId="77777777" w:rsidR="00715204" w:rsidRPr="00715204" w:rsidRDefault="00715204" w:rsidP="00715204">
      <w:pPr>
        <w:numPr>
          <w:ilvl w:val="0"/>
          <w:numId w:val="3"/>
        </w:numPr>
        <w:rPr>
          <w:lang w:val="en-US"/>
        </w:rPr>
      </w:pPr>
      <w:r w:rsidRPr="00715204">
        <w:rPr>
          <w:lang w:val="en-US"/>
        </w:rPr>
        <w:t>Experience in the geographic region.</w:t>
      </w:r>
    </w:p>
    <w:p w14:paraId="46B69FBF" w14:textId="77777777" w:rsidR="00715204" w:rsidRPr="00715204" w:rsidRDefault="00715204" w:rsidP="00715204">
      <w:pPr>
        <w:numPr>
          <w:ilvl w:val="0"/>
          <w:numId w:val="3"/>
        </w:numPr>
        <w:rPr>
          <w:lang w:val="en-US"/>
        </w:rPr>
      </w:pPr>
      <w:r w:rsidRPr="00715204">
        <w:rPr>
          <w:lang w:val="en-US"/>
        </w:rPr>
        <w:t>Soundness of accounting and procurement practices.</w:t>
      </w:r>
    </w:p>
    <w:p w14:paraId="671B3FD2" w14:textId="77777777" w:rsidR="00715204" w:rsidRPr="00715204" w:rsidRDefault="00715204" w:rsidP="00715204">
      <w:pPr>
        <w:numPr>
          <w:ilvl w:val="0"/>
          <w:numId w:val="3"/>
        </w:numPr>
        <w:rPr>
          <w:lang w:val="en-US"/>
        </w:rPr>
      </w:pPr>
      <w:r w:rsidRPr="00715204">
        <w:rPr>
          <w:lang w:val="en-US"/>
        </w:rPr>
        <w:t>Capacity to adhere to USAID financial guidelines.</w:t>
      </w:r>
    </w:p>
    <w:p w14:paraId="1B6C4889" w14:textId="77777777" w:rsidR="00715204" w:rsidRPr="00715204" w:rsidRDefault="00715204" w:rsidP="00715204">
      <w:pPr>
        <w:rPr>
          <w:lang w:val="en-US"/>
        </w:rPr>
      </w:pPr>
    </w:p>
    <w:p w14:paraId="2427832B" w14:textId="77777777" w:rsidR="00715204" w:rsidRPr="00715204" w:rsidRDefault="00715204" w:rsidP="00715204">
      <w:pPr>
        <w:rPr>
          <w:b/>
          <w:lang w:val="en-US"/>
        </w:rPr>
      </w:pPr>
      <w:bookmarkStart w:id="4" w:name="_heading=h.35nkun2"/>
      <w:bookmarkEnd w:id="4"/>
      <w:r w:rsidRPr="00715204">
        <w:rPr>
          <w:b/>
          <w:lang w:val="en-US"/>
        </w:rPr>
        <w:t>GENDER AND YOUTH CONSIDERATIONS (10 points)</w:t>
      </w:r>
    </w:p>
    <w:p w14:paraId="1ADFC278" w14:textId="77777777" w:rsidR="00715204" w:rsidRPr="00715204" w:rsidRDefault="00715204" w:rsidP="00715204">
      <w:pPr>
        <w:rPr>
          <w:lang w:val="en-US"/>
        </w:rPr>
      </w:pPr>
      <w:r w:rsidRPr="00715204">
        <w:rPr>
          <w:lang w:val="en-US"/>
        </w:rPr>
        <w:t>Gender considerations include:</w:t>
      </w:r>
    </w:p>
    <w:p w14:paraId="153431C4" w14:textId="77777777" w:rsidR="00715204" w:rsidRPr="00715204" w:rsidRDefault="00715204" w:rsidP="00715204">
      <w:pPr>
        <w:numPr>
          <w:ilvl w:val="0"/>
          <w:numId w:val="3"/>
        </w:numPr>
        <w:rPr>
          <w:lang w:val="en-US"/>
        </w:rPr>
      </w:pPr>
      <w:r w:rsidRPr="00715204">
        <w:rPr>
          <w:lang w:val="en-US"/>
        </w:rPr>
        <w:t xml:space="preserve">Impact on women’s empowerment: opportunities for women’s participation and involvement in governing bodies </w:t>
      </w:r>
    </w:p>
    <w:p w14:paraId="0E65DA36" w14:textId="77777777" w:rsidR="00715204" w:rsidRPr="00715204" w:rsidRDefault="00715204" w:rsidP="00715204">
      <w:pPr>
        <w:numPr>
          <w:ilvl w:val="0"/>
          <w:numId w:val="3"/>
        </w:numPr>
        <w:rPr>
          <w:lang w:val="en-US"/>
        </w:rPr>
      </w:pPr>
      <w:r w:rsidRPr="00715204">
        <w:rPr>
          <w:lang w:val="en-US"/>
        </w:rPr>
        <w:t>Anticipated benefits to the beneficiaries (WRA, CU5, Youth)</w:t>
      </w:r>
    </w:p>
    <w:p w14:paraId="74711152" w14:textId="77777777" w:rsidR="00715204" w:rsidRPr="00715204" w:rsidRDefault="00715204" w:rsidP="00715204">
      <w:pPr>
        <w:numPr>
          <w:ilvl w:val="0"/>
          <w:numId w:val="3"/>
        </w:numPr>
        <w:rPr>
          <w:lang w:val="en-US"/>
        </w:rPr>
      </w:pPr>
      <w:r w:rsidRPr="00715204">
        <w:rPr>
          <w:lang w:val="en-US"/>
        </w:rPr>
        <w:t>Engagement of women-led organizations and male involvement</w:t>
      </w:r>
    </w:p>
    <w:p w14:paraId="30B27079" w14:textId="77777777" w:rsidR="00715204" w:rsidRPr="00715204" w:rsidRDefault="00715204" w:rsidP="00715204">
      <w:pPr>
        <w:numPr>
          <w:ilvl w:val="0"/>
          <w:numId w:val="3"/>
        </w:numPr>
        <w:rPr>
          <w:lang w:val="en-US"/>
        </w:rPr>
      </w:pPr>
      <w:r w:rsidRPr="00715204">
        <w:rPr>
          <w:lang w:val="en-US"/>
        </w:rPr>
        <w:t>Engagement of youth-led organizations</w:t>
      </w:r>
    </w:p>
    <w:p w14:paraId="4891AB32" w14:textId="77777777" w:rsidR="00715204" w:rsidRPr="00715204" w:rsidRDefault="00715204" w:rsidP="00715204">
      <w:pPr>
        <w:rPr>
          <w:lang w:val="en-US"/>
        </w:rPr>
      </w:pPr>
    </w:p>
    <w:p w14:paraId="176183D2" w14:textId="77777777" w:rsidR="00715204" w:rsidRPr="00715204" w:rsidRDefault="00715204" w:rsidP="00715204">
      <w:pPr>
        <w:rPr>
          <w:b/>
          <w:lang w:val="en-US"/>
        </w:rPr>
      </w:pPr>
      <w:bookmarkStart w:id="5" w:name="_heading=h.1ksv4uv"/>
      <w:bookmarkEnd w:id="5"/>
      <w:r w:rsidRPr="00715204">
        <w:rPr>
          <w:b/>
          <w:lang w:val="en-US"/>
        </w:rPr>
        <w:t>COST EFFECTIVENESS (5 points)</w:t>
      </w:r>
    </w:p>
    <w:p w14:paraId="130ABCEC" w14:textId="77777777" w:rsidR="00715204" w:rsidRPr="00715204" w:rsidRDefault="00715204" w:rsidP="00715204">
      <w:pPr>
        <w:rPr>
          <w:lang w:val="en-US"/>
        </w:rPr>
      </w:pPr>
      <w:r w:rsidRPr="00715204">
        <w:rPr>
          <w:lang w:val="en-US"/>
        </w:rPr>
        <w:t xml:space="preserve">Costs will be evaluated in terms of their feasibility, cost realism, reasonableness, completeness, allowability, and cost-effectiveness for undertaking activities outlined in the application. As technical scores converge, applications that maximize the portion of direct activity costs including cost sharing and leveraging and that minimize administrative costs will be more favorably considered. The cost evaluation criteria will allow the project to evaluate the applicant’s cost application. </w:t>
      </w:r>
    </w:p>
    <w:p w14:paraId="1DFE74F7" w14:textId="77777777" w:rsidR="00715204" w:rsidRPr="00715204" w:rsidRDefault="00715204" w:rsidP="00715204">
      <w:pPr>
        <w:numPr>
          <w:ilvl w:val="0"/>
          <w:numId w:val="3"/>
        </w:numPr>
        <w:rPr>
          <w:lang w:val="en-US"/>
        </w:rPr>
      </w:pPr>
      <w:r w:rsidRPr="00715204">
        <w:rPr>
          <w:lang w:val="en-US"/>
        </w:rPr>
        <w:t>Reasonableness of proposed budget based on the scope of activities proposed.</w:t>
      </w:r>
    </w:p>
    <w:p w14:paraId="45D9E94B" w14:textId="77777777" w:rsidR="00715204" w:rsidRPr="00715204" w:rsidRDefault="00715204" w:rsidP="00715204">
      <w:pPr>
        <w:numPr>
          <w:ilvl w:val="0"/>
          <w:numId w:val="3"/>
        </w:numPr>
        <w:rPr>
          <w:lang w:val="en-US"/>
        </w:rPr>
      </w:pPr>
      <w:r w:rsidRPr="00715204">
        <w:rPr>
          <w:lang w:val="en-US"/>
        </w:rPr>
        <w:t>Summary budget, detailed budget, and budget notes included.</w:t>
      </w:r>
    </w:p>
    <w:p w14:paraId="53D7B99D" w14:textId="77777777" w:rsidR="00715204" w:rsidRPr="00715204" w:rsidRDefault="00715204" w:rsidP="00715204">
      <w:pPr>
        <w:numPr>
          <w:ilvl w:val="0"/>
          <w:numId w:val="3"/>
        </w:numPr>
        <w:rPr>
          <w:lang w:val="en-US"/>
        </w:rPr>
      </w:pPr>
      <w:proofErr w:type="gramStart"/>
      <w:r w:rsidRPr="00715204">
        <w:rPr>
          <w:lang w:val="en-US"/>
        </w:rPr>
        <w:t>Proposed</w:t>
      </w:r>
      <w:proofErr w:type="gramEnd"/>
      <w:r w:rsidRPr="00715204">
        <w:rPr>
          <w:lang w:val="en-US"/>
        </w:rPr>
        <w:t xml:space="preserve"> budget is reasonable and cost-effective.</w:t>
      </w:r>
    </w:p>
    <w:p w14:paraId="15F88DEF" w14:textId="77777777" w:rsidR="00715204" w:rsidRPr="00715204" w:rsidRDefault="00715204" w:rsidP="00715204">
      <w:pPr>
        <w:rPr>
          <w:lang w:val="en-US"/>
        </w:rPr>
      </w:pPr>
    </w:p>
    <w:p w14:paraId="7B69D1C1" w14:textId="77777777" w:rsidR="00715204" w:rsidRPr="00715204" w:rsidRDefault="00715204" w:rsidP="00715204">
      <w:pPr>
        <w:rPr>
          <w:lang w:val="en-US"/>
        </w:rPr>
      </w:pPr>
      <w:r w:rsidRPr="00715204">
        <w:rPr>
          <w:lang w:val="en-US"/>
        </w:rPr>
        <w:t>Feed the Future Resilience in Northern Ghana Systems Strengthening Activity will evaluate applications primarily by considering the technical and cost quality prior to award. If the application is successful in the technical and cost evaluation process, it will be submitted to USAID for approval of an award following a pre-award responsibility determination. The project will notify applicants of the results of the grant evaluation process in writing and will offer them an opportunity to contact the project’s Grants Manager within 10 days to respond to or ask questions. All grant awards are contingent on a positive applicant responsibility determination and final approval by USAID.</w:t>
      </w:r>
    </w:p>
    <w:p w14:paraId="359F4A64" w14:textId="77777777" w:rsidR="004C3323" w:rsidRPr="00715204" w:rsidRDefault="004C3323">
      <w:pPr>
        <w:rPr>
          <w:lang w:val="en-US"/>
        </w:rPr>
      </w:pPr>
    </w:p>
    <w:sectPr w:rsidR="004C3323" w:rsidRPr="007152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72B3D"/>
    <w:multiLevelType w:val="multilevel"/>
    <w:tmpl w:val="18D8783C"/>
    <w:lvl w:ilvl="0">
      <w:start w:val="1"/>
      <w:numFmt w:val="lowerLetter"/>
      <w:pStyle w:val="Palladium-FeatureFigure1"/>
      <w:lvlText w:val="%1."/>
      <w:lvlJc w:val="left"/>
      <w:pPr>
        <w:ind w:left="720" w:hanging="720"/>
      </w:pPr>
      <w:rPr>
        <w:strike w:val="0"/>
        <w:dstrike w:val="0"/>
        <w:u w:val="none"/>
        <w:effect w:val="none"/>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6BF00A0"/>
    <w:multiLevelType w:val="multilevel"/>
    <w:tmpl w:val="4A3E9114"/>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45F3505"/>
    <w:multiLevelType w:val="multilevel"/>
    <w:tmpl w:val="6CB61E7A"/>
    <w:lvl w:ilvl="0">
      <w:start w:val="1"/>
      <w:numFmt w:val="bullet"/>
      <w:lvlText w:val=""/>
      <w:lvlJc w:val="left"/>
      <w:pPr>
        <w:ind w:left="432" w:firstLine="0"/>
      </w:pPr>
      <w:rPr>
        <w:rFonts w:ascii="Symbol" w:hAnsi="Symbol" w:hint="default"/>
      </w:rPr>
    </w:lvl>
    <w:lvl w:ilvl="1">
      <w:numFmt w:val="decimal"/>
      <w:lvlText w:val=""/>
      <w:lvlJc w:val="left"/>
      <w:pPr>
        <w:ind w:left="432" w:firstLine="0"/>
      </w:pPr>
    </w:lvl>
    <w:lvl w:ilvl="2">
      <w:numFmt w:val="decimal"/>
      <w:lvlText w:val=""/>
      <w:lvlJc w:val="left"/>
      <w:pPr>
        <w:ind w:left="432" w:firstLine="0"/>
      </w:pPr>
    </w:lvl>
    <w:lvl w:ilvl="3">
      <w:numFmt w:val="decimal"/>
      <w:lvlText w:val=""/>
      <w:lvlJc w:val="left"/>
      <w:pPr>
        <w:ind w:left="432" w:firstLine="0"/>
      </w:pPr>
    </w:lvl>
    <w:lvl w:ilvl="4">
      <w:numFmt w:val="decimal"/>
      <w:lvlText w:val=""/>
      <w:lvlJc w:val="left"/>
      <w:pPr>
        <w:ind w:left="432" w:firstLine="0"/>
      </w:pPr>
    </w:lvl>
    <w:lvl w:ilvl="5">
      <w:numFmt w:val="decimal"/>
      <w:lvlText w:val=""/>
      <w:lvlJc w:val="left"/>
      <w:pPr>
        <w:ind w:left="432" w:firstLine="0"/>
      </w:pPr>
    </w:lvl>
    <w:lvl w:ilvl="6">
      <w:numFmt w:val="decimal"/>
      <w:lvlText w:val=""/>
      <w:lvlJc w:val="left"/>
      <w:pPr>
        <w:ind w:left="432" w:firstLine="0"/>
      </w:pPr>
    </w:lvl>
    <w:lvl w:ilvl="7">
      <w:numFmt w:val="decimal"/>
      <w:lvlText w:val=""/>
      <w:lvlJc w:val="left"/>
      <w:pPr>
        <w:ind w:left="432" w:firstLine="0"/>
      </w:pPr>
    </w:lvl>
    <w:lvl w:ilvl="8">
      <w:numFmt w:val="decimal"/>
      <w:lvlText w:val=""/>
      <w:lvlJc w:val="left"/>
      <w:pPr>
        <w:ind w:left="432" w:firstLine="0"/>
      </w:pPr>
    </w:lvl>
  </w:abstractNum>
  <w:num w:numId="1" w16cid:durableId="30585925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7251890">
    <w:abstractNumId w:val="1"/>
    <w:lvlOverride w:ilvl="0">
      <w:startOverride w:val="1"/>
    </w:lvlOverride>
    <w:lvlOverride w:ilvl="1"/>
    <w:lvlOverride w:ilvl="2"/>
    <w:lvlOverride w:ilvl="3"/>
    <w:lvlOverride w:ilvl="4"/>
    <w:lvlOverride w:ilvl="5"/>
    <w:lvlOverride w:ilvl="6"/>
    <w:lvlOverride w:ilvl="7"/>
    <w:lvlOverride w:ilvl="8"/>
  </w:num>
  <w:num w:numId="3" w16cid:durableId="57031580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04"/>
    <w:rsid w:val="004C3323"/>
    <w:rsid w:val="00715204"/>
    <w:rsid w:val="008D12CD"/>
    <w:rsid w:val="009C3802"/>
  </w:rsids>
  <m:mathPr>
    <m:mathFont m:val="Cambria Math"/>
    <m:brkBin m:val="before"/>
    <m:brkBinSub m:val="--"/>
    <m:smallFrac m:val="0"/>
    <m:dispDef/>
    <m:lMargin m:val="0"/>
    <m:rMargin m:val="0"/>
    <m:defJc m:val="centerGroup"/>
    <m:wrapIndent m:val="1440"/>
    <m:intLim m:val="subSup"/>
    <m:naryLim m:val="undOvr"/>
  </m:mathPr>
  <w:themeFontLang w:val="en-GH"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0D7B2"/>
  <w15:chartTrackingRefBased/>
  <w15:docId w15:val="{E09AEB43-9EC9-47C9-A0AE-89F1F043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H"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52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52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52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52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52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52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52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52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52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2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52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52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52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52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52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52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52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5204"/>
    <w:rPr>
      <w:rFonts w:eastAsiaTheme="majorEastAsia" w:cstheme="majorBidi"/>
      <w:color w:val="272727" w:themeColor="text1" w:themeTint="D8"/>
    </w:rPr>
  </w:style>
  <w:style w:type="paragraph" w:styleId="Title">
    <w:name w:val="Title"/>
    <w:basedOn w:val="Normal"/>
    <w:next w:val="Normal"/>
    <w:link w:val="TitleChar"/>
    <w:uiPriority w:val="10"/>
    <w:qFormat/>
    <w:rsid w:val="007152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2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2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52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5204"/>
    <w:pPr>
      <w:spacing w:before="160"/>
      <w:jc w:val="center"/>
    </w:pPr>
    <w:rPr>
      <w:i/>
      <w:iCs/>
      <w:color w:val="404040" w:themeColor="text1" w:themeTint="BF"/>
    </w:rPr>
  </w:style>
  <w:style w:type="character" w:customStyle="1" w:styleId="QuoteChar">
    <w:name w:val="Quote Char"/>
    <w:basedOn w:val="DefaultParagraphFont"/>
    <w:link w:val="Quote"/>
    <w:uiPriority w:val="29"/>
    <w:rsid w:val="00715204"/>
    <w:rPr>
      <w:i/>
      <w:iCs/>
      <w:color w:val="404040" w:themeColor="text1" w:themeTint="BF"/>
    </w:rPr>
  </w:style>
  <w:style w:type="paragraph" w:styleId="ListParagraph">
    <w:name w:val="List Paragraph"/>
    <w:basedOn w:val="Normal"/>
    <w:uiPriority w:val="34"/>
    <w:qFormat/>
    <w:rsid w:val="00715204"/>
    <w:pPr>
      <w:ind w:left="720"/>
      <w:contextualSpacing/>
    </w:pPr>
  </w:style>
  <w:style w:type="character" w:styleId="IntenseEmphasis">
    <w:name w:val="Intense Emphasis"/>
    <w:basedOn w:val="DefaultParagraphFont"/>
    <w:uiPriority w:val="21"/>
    <w:qFormat/>
    <w:rsid w:val="00715204"/>
    <w:rPr>
      <w:i/>
      <w:iCs/>
      <w:color w:val="0F4761" w:themeColor="accent1" w:themeShade="BF"/>
    </w:rPr>
  </w:style>
  <w:style w:type="paragraph" w:styleId="IntenseQuote">
    <w:name w:val="Intense Quote"/>
    <w:basedOn w:val="Normal"/>
    <w:next w:val="Normal"/>
    <w:link w:val="IntenseQuoteChar"/>
    <w:uiPriority w:val="30"/>
    <w:qFormat/>
    <w:rsid w:val="007152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5204"/>
    <w:rPr>
      <w:i/>
      <w:iCs/>
      <w:color w:val="0F4761" w:themeColor="accent1" w:themeShade="BF"/>
    </w:rPr>
  </w:style>
  <w:style w:type="character" w:styleId="IntenseReference">
    <w:name w:val="Intense Reference"/>
    <w:basedOn w:val="DefaultParagraphFont"/>
    <w:uiPriority w:val="32"/>
    <w:qFormat/>
    <w:rsid w:val="00715204"/>
    <w:rPr>
      <w:b/>
      <w:bCs/>
      <w:smallCaps/>
      <w:color w:val="0F4761" w:themeColor="accent1" w:themeShade="BF"/>
      <w:spacing w:val="5"/>
    </w:rPr>
  </w:style>
  <w:style w:type="paragraph" w:customStyle="1" w:styleId="Palladium-FeatureFigure1">
    <w:name w:val="Palladium - Feature Figure 1"/>
    <w:basedOn w:val="Normal"/>
    <w:rsid w:val="00715204"/>
    <w:pPr>
      <w:numPr>
        <w:numId w:val="1"/>
      </w:numPr>
      <w:suppressAutoHyphens/>
      <w:spacing w:after="200" w:line="1380" w:lineRule="exact"/>
      <w:outlineLvl w:val="0"/>
    </w:pPr>
    <w:rPr>
      <w:rFonts w:ascii="Calibri" w:eastAsia="Calibri" w:hAnsi="Calibri" w:cs="Arial"/>
      <w:b/>
      <w:color w:val="000000" w:themeColor="text1"/>
      <w:kern w:val="0"/>
      <w:sz w:val="130"/>
      <w:szCs w:val="60"/>
      <w:lang w:val="en-US" w:eastAsia="en-US"/>
      <w14:ligatures w14:val="none"/>
    </w:rPr>
  </w:style>
  <w:style w:type="character" w:styleId="Hyperlink">
    <w:name w:val="Hyperlink"/>
    <w:basedOn w:val="DefaultParagraphFont"/>
    <w:uiPriority w:val="99"/>
    <w:unhideWhenUsed/>
    <w:rsid w:val="00715204"/>
    <w:rPr>
      <w:color w:val="467886" w:themeColor="hyperlink"/>
      <w:u w:val="single"/>
    </w:rPr>
  </w:style>
  <w:style w:type="character" w:styleId="UnresolvedMention">
    <w:name w:val="Unresolved Mention"/>
    <w:basedOn w:val="DefaultParagraphFont"/>
    <w:uiPriority w:val="99"/>
    <w:semiHidden/>
    <w:unhideWhenUsed/>
    <w:rsid w:val="00715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94666">
      <w:bodyDiv w:val="1"/>
      <w:marLeft w:val="0"/>
      <w:marRight w:val="0"/>
      <w:marTop w:val="0"/>
      <w:marBottom w:val="0"/>
      <w:divBdr>
        <w:top w:val="none" w:sz="0" w:space="0" w:color="auto"/>
        <w:left w:val="none" w:sz="0" w:space="0" w:color="auto"/>
        <w:bottom w:val="none" w:sz="0" w:space="0" w:color="auto"/>
        <w:right w:val="none" w:sz="0" w:space="0" w:color="auto"/>
      </w:divBdr>
    </w:div>
    <w:div w:id="55432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5149</Characters>
  <Application>Microsoft Office Word</Application>
  <DocSecurity>0</DocSecurity>
  <Lines>42</Lines>
  <Paragraphs>12</Paragraphs>
  <ScaleCrop>false</ScaleCrop>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Baffour</dc:creator>
  <cp:keywords/>
  <dc:description/>
  <cp:lastModifiedBy>Richard Baffour</cp:lastModifiedBy>
  <cp:revision>1</cp:revision>
  <dcterms:created xsi:type="dcterms:W3CDTF">2024-08-15T07:55:00Z</dcterms:created>
  <dcterms:modified xsi:type="dcterms:W3CDTF">2024-08-15T07:55:00Z</dcterms:modified>
</cp:coreProperties>
</file>