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733D" w14:textId="77777777" w:rsidR="00BC787B" w:rsidRPr="00BC787B" w:rsidRDefault="00BC787B" w:rsidP="00BC787B">
      <w:pPr>
        <w:rPr>
          <w:b/>
          <w:u w:val="single"/>
          <w:lang w:val="en-US"/>
        </w:rPr>
      </w:pPr>
      <w:r w:rsidRPr="00BC787B">
        <w:rPr>
          <w:b/>
          <w:u w:val="single"/>
          <w:lang w:val="en-US"/>
        </w:rPr>
        <w:t>SECTION V: AWARD ADMINISTRATION INFORMATION</w:t>
      </w:r>
    </w:p>
    <w:p w14:paraId="33F1D94E" w14:textId="77777777" w:rsidR="00BC787B" w:rsidRPr="00BC787B" w:rsidRDefault="00BC787B" w:rsidP="00BC787B">
      <w:pPr>
        <w:numPr>
          <w:ilvl w:val="0"/>
          <w:numId w:val="1"/>
        </w:numPr>
        <w:rPr>
          <w:lang w:val="en-US"/>
        </w:rPr>
      </w:pPr>
      <w:r w:rsidRPr="00BC787B">
        <w:rPr>
          <w:b/>
          <w:u w:val="single"/>
          <w:lang w:val="en-US"/>
        </w:rPr>
        <w:t>Award Notices</w:t>
      </w:r>
      <w:r w:rsidRPr="00BC787B">
        <w:rPr>
          <w:lang w:val="en-US"/>
        </w:rPr>
        <w:t xml:space="preserve"> </w:t>
      </w:r>
    </w:p>
    <w:p w14:paraId="602A5FC6" w14:textId="77777777" w:rsidR="00BC787B" w:rsidRPr="00BC787B" w:rsidRDefault="00BC787B" w:rsidP="00BC787B">
      <w:pPr>
        <w:rPr>
          <w:lang w:val="en-US"/>
        </w:rPr>
      </w:pPr>
      <w:r w:rsidRPr="00BC787B">
        <w:rPr>
          <w:lang w:val="en-US"/>
        </w:rPr>
        <w:t>If selected for the award, prospective Grantees will receive an official notice from Feed the Future Resilience in Northern Ghana Systems Strengthening and will be invited to proceed to the next steps, which may include participating in the co-development of the final program statement, milestones, deliverables, and timelines. Once these elements are final, the grant agreement will be finalized and executed.</w:t>
      </w:r>
    </w:p>
    <w:p w14:paraId="54A911FC" w14:textId="77777777" w:rsidR="00BC787B" w:rsidRPr="00BC787B" w:rsidRDefault="00BC787B" w:rsidP="00BC787B">
      <w:pPr>
        <w:numPr>
          <w:ilvl w:val="0"/>
          <w:numId w:val="1"/>
        </w:numPr>
        <w:rPr>
          <w:b/>
          <w:u w:val="single"/>
          <w:lang w:val="en-US"/>
        </w:rPr>
      </w:pPr>
      <w:r w:rsidRPr="00BC787B">
        <w:rPr>
          <w:b/>
          <w:u w:val="single"/>
          <w:lang w:val="en-US"/>
        </w:rPr>
        <w:t>Award Administration Standards</w:t>
      </w:r>
    </w:p>
    <w:p w14:paraId="7523CF54" w14:textId="77777777" w:rsidR="00BC787B" w:rsidRPr="00BC787B" w:rsidRDefault="00BC787B" w:rsidP="00BC787B">
      <w:pPr>
        <w:rPr>
          <w:lang w:val="en-US"/>
        </w:rPr>
      </w:pPr>
      <w:r w:rsidRPr="00BC787B">
        <w:rPr>
          <w:lang w:val="en-US"/>
        </w:rPr>
        <w:t>Grants resulting from this solicitation will be administered in accordance with the approved Project Grants Manual, and the following regulations (as applicable):</w:t>
      </w:r>
    </w:p>
    <w:p w14:paraId="79D5C119" w14:textId="77777777" w:rsidR="00BC787B" w:rsidRPr="00BC787B" w:rsidRDefault="00BC787B" w:rsidP="00BC787B">
      <w:pPr>
        <w:numPr>
          <w:ilvl w:val="0"/>
          <w:numId w:val="2"/>
        </w:numPr>
        <w:rPr>
          <w:lang w:val="en-US"/>
        </w:rPr>
      </w:pPr>
      <w:r w:rsidRPr="00BC787B">
        <w:rPr>
          <w:lang w:val="en-US"/>
        </w:rPr>
        <w:t>FAR Part 31 – Cost Principles for For-Profit organizations used to negotiate award amounts and terminations per 2 C.F.R. 200.201 (b)(1))</w:t>
      </w:r>
    </w:p>
    <w:p w14:paraId="185DD864" w14:textId="77777777" w:rsidR="00BC787B" w:rsidRPr="00BC787B" w:rsidRDefault="00BC787B" w:rsidP="00BC787B">
      <w:pPr>
        <w:numPr>
          <w:ilvl w:val="0"/>
          <w:numId w:val="2"/>
        </w:numPr>
        <w:rPr>
          <w:lang w:val="en-US"/>
        </w:rPr>
      </w:pPr>
      <w:r w:rsidRPr="00BC787B">
        <w:rPr>
          <w:lang w:val="en-US"/>
        </w:rPr>
        <w:t>Automated Directives System (ADS) Chapter 303 Grants &amp; Cooperative Agreements to Non-Governmental Organizations:  303.3.25 Fixed Amount Awards to Non-Governmental Organizations</w:t>
      </w:r>
    </w:p>
    <w:p w14:paraId="634334FD" w14:textId="77777777" w:rsidR="00BC787B" w:rsidRPr="00BC787B" w:rsidRDefault="00BC787B" w:rsidP="00BC787B">
      <w:pPr>
        <w:numPr>
          <w:ilvl w:val="0"/>
          <w:numId w:val="2"/>
        </w:numPr>
        <w:rPr>
          <w:lang w:val="en-US"/>
        </w:rPr>
      </w:pPr>
      <w:r w:rsidRPr="00BC787B">
        <w:rPr>
          <w:lang w:val="en-US"/>
        </w:rPr>
        <w:t xml:space="preserve">ADS 302.3.4.13 Grants Under Contracts (GUCs) </w:t>
      </w:r>
    </w:p>
    <w:p w14:paraId="2454C4C0" w14:textId="77777777" w:rsidR="00BC787B" w:rsidRPr="00BC787B" w:rsidRDefault="00BC787B" w:rsidP="00BC787B">
      <w:pPr>
        <w:numPr>
          <w:ilvl w:val="0"/>
          <w:numId w:val="2"/>
        </w:numPr>
        <w:rPr>
          <w:lang w:val="en-US"/>
        </w:rPr>
      </w:pPr>
      <w:r w:rsidRPr="00BC787B">
        <w:rPr>
          <w:lang w:val="en-US"/>
        </w:rPr>
        <w:t>2. C.F.R. 200 Subpart E – Cost Principles for non-profit and educational organizations – used to negotiate award amounts and terminations per 2 C.F.R. 200.201 (b)(1))</w:t>
      </w:r>
    </w:p>
    <w:p w14:paraId="630CB05F" w14:textId="77777777" w:rsidR="00BC787B" w:rsidRPr="00BC787B" w:rsidRDefault="00BC787B" w:rsidP="00BC787B">
      <w:pPr>
        <w:numPr>
          <w:ilvl w:val="0"/>
          <w:numId w:val="1"/>
        </w:numPr>
        <w:rPr>
          <w:lang w:val="en-US"/>
        </w:rPr>
      </w:pPr>
      <w:r w:rsidRPr="00BC787B">
        <w:rPr>
          <w:b/>
          <w:u w:val="single"/>
          <w:lang w:val="en-US"/>
        </w:rPr>
        <w:t>Reporting</w:t>
      </w:r>
    </w:p>
    <w:p w14:paraId="78D7164F" w14:textId="77777777" w:rsidR="00BC787B" w:rsidRPr="00BC787B" w:rsidRDefault="00BC787B" w:rsidP="00BC787B">
      <w:pPr>
        <w:rPr>
          <w:lang w:val="en-US"/>
        </w:rPr>
      </w:pPr>
      <w:r w:rsidRPr="00BC787B">
        <w:rPr>
          <w:lang w:val="en-US"/>
        </w:rPr>
        <w:t xml:space="preserve">Grant reporting cycles are defined in the milestone schedules included in each grant agreement. Payments are made upon receipt and acceptance of pre-defined deliverables, in compliance with the terms of the award and receipt of the grantees' voucher requesting payment for each deliverable. Financial reports are not a requirement under the FAA. </w:t>
      </w:r>
    </w:p>
    <w:p w14:paraId="6E7FC0D1" w14:textId="77777777" w:rsidR="00BC787B" w:rsidRPr="00BC787B" w:rsidRDefault="00BC787B" w:rsidP="00BC787B">
      <w:pPr>
        <w:numPr>
          <w:ilvl w:val="0"/>
          <w:numId w:val="1"/>
        </w:numPr>
        <w:rPr>
          <w:b/>
          <w:u w:val="single"/>
          <w:lang w:val="en-US"/>
        </w:rPr>
      </w:pPr>
      <w:r w:rsidRPr="00BC787B">
        <w:rPr>
          <w:b/>
          <w:u w:val="single"/>
          <w:lang w:val="en-US"/>
        </w:rPr>
        <w:t>Environmental Compliance</w:t>
      </w:r>
    </w:p>
    <w:p w14:paraId="36151653" w14:textId="77777777" w:rsidR="00BC787B" w:rsidRPr="00BC787B" w:rsidRDefault="00BC787B" w:rsidP="00BC787B">
      <w:pPr>
        <w:rPr>
          <w:lang w:val="en-US"/>
        </w:rPr>
      </w:pPr>
      <w:r w:rsidRPr="00BC787B">
        <w:rPr>
          <w:lang w:val="en-US"/>
        </w:rPr>
        <w:t>The grants program anticipates funding only activities that fall under the categorical exclusions of “USAID Environmental Guidelines.”</w:t>
      </w:r>
      <w:r w:rsidRPr="00BC787B">
        <w:rPr>
          <w:vertAlign w:val="superscript"/>
          <w:lang w:val="en-US"/>
        </w:rPr>
        <w:footnoteReference w:id="1"/>
      </w:r>
      <w:r w:rsidRPr="00BC787B">
        <w:rPr>
          <w:lang w:val="en-US"/>
        </w:rPr>
        <w:t xml:space="preserve">  Therefore, if all activities under a specific grant are identified as categorical exclusions, the project will not conduct any additional environmental assessment or will not require prior review by USAID’s environmental officer. However, in instances where the proposed activity may directly affect the environment outside the exclusions, the project will seek guidance from the COR, to ensure compliance with 22 CFR 216 and the “USAID Environmental Guidelines”.</w:t>
      </w:r>
    </w:p>
    <w:p w14:paraId="530DDF76" w14:textId="77777777" w:rsidR="004C3323" w:rsidRPr="00BC787B" w:rsidRDefault="004C3323">
      <w:pPr>
        <w:rPr>
          <w:lang w:val="en-US"/>
        </w:rPr>
      </w:pPr>
    </w:p>
    <w:sectPr w:rsidR="004C3323" w:rsidRPr="00BC78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CA62" w14:textId="77777777" w:rsidR="00C8460D" w:rsidRDefault="00C8460D" w:rsidP="00BC787B">
      <w:pPr>
        <w:spacing w:after="0" w:line="240" w:lineRule="auto"/>
      </w:pPr>
      <w:r>
        <w:separator/>
      </w:r>
    </w:p>
  </w:endnote>
  <w:endnote w:type="continuationSeparator" w:id="0">
    <w:p w14:paraId="563DBC3B" w14:textId="77777777" w:rsidR="00C8460D" w:rsidRDefault="00C8460D" w:rsidP="00B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6B1E" w14:textId="77777777" w:rsidR="00C8460D" w:rsidRDefault="00C8460D" w:rsidP="00BC787B">
      <w:pPr>
        <w:spacing w:after="0" w:line="240" w:lineRule="auto"/>
      </w:pPr>
      <w:r>
        <w:separator/>
      </w:r>
    </w:p>
  </w:footnote>
  <w:footnote w:type="continuationSeparator" w:id="0">
    <w:p w14:paraId="79627C80" w14:textId="77777777" w:rsidR="00C8460D" w:rsidRDefault="00C8460D" w:rsidP="00BC787B">
      <w:pPr>
        <w:spacing w:after="0" w:line="240" w:lineRule="auto"/>
      </w:pPr>
      <w:r>
        <w:continuationSeparator/>
      </w:r>
    </w:p>
  </w:footnote>
  <w:footnote w:id="1">
    <w:p w14:paraId="6206467E" w14:textId="77777777" w:rsidR="00BC787B" w:rsidRDefault="00BC787B" w:rsidP="00BC787B">
      <w:pPr>
        <w:spacing w:after="0" w:line="240" w:lineRule="auto"/>
        <w:jc w:val="both"/>
        <w:rPr>
          <w:rFonts w:ascii="Times New Roman" w:eastAsia="Times New Roman" w:hAnsi="Times New Roman" w:cs="Times New Roman"/>
          <w:color w:val="C00000"/>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F3505"/>
    <w:multiLevelType w:val="multilevel"/>
    <w:tmpl w:val="6CB61E7A"/>
    <w:lvl w:ilvl="0">
      <w:start w:val="1"/>
      <w:numFmt w:val="bullet"/>
      <w:lvlText w:val=""/>
      <w:lvlJc w:val="left"/>
      <w:pPr>
        <w:ind w:left="432" w:firstLine="0"/>
      </w:pPr>
      <w:rPr>
        <w:rFonts w:ascii="Symbol" w:hAnsi="Symbol" w:hint="default"/>
      </w:rPr>
    </w:lvl>
    <w:lvl w:ilvl="1">
      <w:numFmt w:val="decimal"/>
      <w:lvlText w:val=""/>
      <w:lvlJc w:val="left"/>
      <w:pPr>
        <w:ind w:left="432" w:firstLine="0"/>
      </w:pPr>
    </w:lvl>
    <w:lvl w:ilvl="2">
      <w:numFmt w:val="decimal"/>
      <w:lvlText w:val=""/>
      <w:lvlJc w:val="left"/>
      <w:pPr>
        <w:ind w:left="432" w:firstLine="0"/>
      </w:pPr>
    </w:lvl>
    <w:lvl w:ilvl="3">
      <w:numFmt w:val="decimal"/>
      <w:lvlText w:val=""/>
      <w:lvlJc w:val="left"/>
      <w:pPr>
        <w:ind w:left="432" w:firstLine="0"/>
      </w:pPr>
    </w:lvl>
    <w:lvl w:ilvl="4">
      <w:numFmt w:val="decimal"/>
      <w:lvlText w:val=""/>
      <w:lvlJc w:val="left"/>
      <w:pPr>
        <w:ind w:left="432" w:firstLine="0"/>
      </w:pPr>
    </w:lvl>
    <w:lvl w:ilvl="5">
      <w:numFmt w:val="decimal"/>
      <w:lvlText w:val=""/>
      <w:lvlJc w:val="left"/>
      <w:pPr>
        <w:ind w:left="432" w:firstLine="0"/>
      </w:pPr>
    </w:lvl>
    <w:lvl w:ilvl="6">
      <w:numFmt w:val="decimal"/>
      <w:lvlText w:val=""/>
      <w:lvlJc w:val="left"/>
      <w:pPr>
        <w:ind w:left="432" w:firstLine="0"/>
      </w:pPr>
    </w:lvl>
    <w:lvl w:ilvl="7">
      <w:numFmt w:val="decimal"/>
      <w:lvlText w:val=""/>
      <w:lvlJc w:val="left"/>
      <w:pPr>
        <w:ind w:left="432" w:firstLine="0"/>
      </w:pPr>
    </w:lvl>
    <w:lvl w:ilvl="8">
      <w:numFmt w:val="decimal"/>
      <w:lvlText w:val=""/>
      <w:lvlJc w:val="left"/>
      <w:pPr>
        <w:ind w:left="432" w:firstLine="0"/>
      </w:pPr>
    </w:lvl>
  </w:abstractNum>
  <w:abstractNum w:abstractNumId="1" w15:restartNumberingAfterBreak="0">
    <w:nsid w:val="5A2A514E"/>
    <w:multiLevelType w:val="multilevel"/>
    <w:tmpl w:val="ABDA3DD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122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5692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B"/>
    <w:rsid w:val="004C3323"/>
    <w:rsid w:val="008D12CD"/>
    <w:rsid w:val="009C3802"/>
    <w:rsid w:val="00BC787B"/>
    <w:rsid w:val="00C8460D"/>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40BD"/>
  <w15:chartTrackingRefBased/>
  <w15:docId w15:val="{30047B7B-3962-458B-8BD5-EFD89FD5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87B"/>
    <w:rPr>
      <w:rFonts w:eastAsiaTheme="majorEastAsia" w:cstheme="majorBidi"/>
      <w:color w:val="272727" w:themeColor="text1" w:themeTint="D8"/>
    </w:rPr>
  </w:style>
  <w:style w:type="paragraph" w:styleId="Title">
    <w:name w:val="Title"/>
    <w:basedOn w:val="Normal"/>
    <w:next w:val="Normal"/>
    <w:link w:val="TitleChar"/>
    <w:uiPriority w:val="10"/>
    <w:qFormat/>
    <w:rsid w:val="00BC7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87B"/>
    <w:pPr>
      <w:spacing w:before="160"/>
      <w:jc w:val="center"/>
    </w:pPr>
    <w:rPr>
      <w:i/>
      <w:iCs/>
      <w:color w:val="404040" w:themeColor="text1" w:themeTint="BF"/>
    </w:rPr>
  </w:style>
  <w:style w:type="character" w:customStyle="1" w:styleId="QuoteChar">
    <w:name w:val="Quote Char"/>
    <w:basedOn w:val="DefaultParagraphFont"/>
    <w:link w:val="Quote"/>
    <w:uiPriority w:val="29"/>
    <w:rsid w:val="00BC787B"/>
    <w:rPr>
      <w:i/>
      <w:iCs/>
      <w:color w:val="404040" w:themeColor="text1" w:themeTint="BF"/>
    </w:rPr>
  </w:style>
  <w:style w:type="paragraph" w:styleId="ListParagraph">
    <w:name w:val="List Paragraph"/>
    <w:basedOn w:val="Normal"/>
    <w:uiPriority w:val="34"/>
    <w:qFormat/>
    <w:rsid w:val="00BC787B"/>
    <w:pPr>
      <w:ind w:left="720"/>
      <w:contextualSpacing/>
    </w:pPr>
  </w:style>
  <w:style w:type="character" w:styleId="IntenseEmphasis">
    <w:name w:val="Intense Emphasis"/>
    <w:basedOn w:val="DefaultParagraphFont"/>
    <w:uiPriority w:val="21"/>
    <w:qFormat/>
    <w:rsid w:val="00BC787B"/>
    <w:rPr>
      <w:i/>
      <w:iCs/>
      <w:color w:val="0F4761" w:themeColor="accent1" w:themeShade="BF"/>
    </w:rPr>
  </w:style>
  <w:style w:type="paragraph" w:styleId="IntenseQuote">
    <w:name w:val="Intense Quote"/>
    <w:basedOn w:val="Normal"/>
    <w:next w:val="Normal"/>
    <w:link w:val="IntenseQuoteChar"/>
    <w:uiPriority w:val="30"/>
    <w:qFormat/>
    <w:rsid w:val="00BC7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87B"/>
    <w:rPr>
      <w:i/>
      <w:iCs/>
      <w:color w:val="0F4761" w:themeColor="accent1" w:themeShade="BF"/>
    </w:rPr>
  </w:style>
  <w:style w:type="character" w:styleId="IntenseReference">
    <w:name w:val="Intense Reference"/>
    <w:basedOn w:val="DefaultParagraphFont"/>
    <w:uiPriority w:val="32"/>
    <w:qFormat/>
    <w:rsid w:val="00BC78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290243">
      <w:bodyDiv w:val="1"/>
      <w:marLeft w:val="0"/>
      <w:marRight w:val="0"/>
      <w:marTop w:val="0"/>
      <w:marBottom w:val="0"/>
      <w:divBdr>
        <w:top w:val="none" w:sz="0" w:space="0" w:color="auto"/>
        <w:left w:val="none" w:sz="0" w:space="0" w:color="auto"/>
        <w:bottom w:val="none" w:sz="0" w:space="0" w:color="auto"/>
        <w:right w:val="none" w:sz="0" w:space="0" w:color="auto"/>
      </w:divBdr>
    </w:div>
    <w:div w:id="20830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2024-08-15T08:01:00Z</dcterms:created>
  <dcterms:modified xsi:type="dcterms:W3CDTF">2024-08-15T08:02:00Z</dcterms:modified>
</cp:coreProperties>
</file>