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81416" w14:textId="77777777" w:rsidR="00415193" w:rsidRPr="00F16191" w:rsidRDefault="00415193" w:rsidP="00415193">
      <w:pPr>
        <w:spacing w:after="0" w:line="240" w:lineRule="auto"/>
        <w:rPr>
          <w:rFonts w:ascii="Arial" w:eastAsia="Cambria" w:hAnsi="Arial" w:cs="Arial"/>
          <w:b/>
          <w:sz w:val="20"/>
        </w:rPr>
      </w:pPr>
      <w:r w:rsidRPr="00F16191">
        <w:rPr>
          <w:rFonts w:ascii="Arial" w:eastAsia="MS Gothic" w:hAnsi="Arial" w:cs="Times New Roman"/>
          <w:b/>
          <w:bCs/>
          <w:smallCaps/>
        </w:rPr>
        <w:t>Tender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70"/>
        <w:gridCol w:w="7846"/>
      </w:tblGrid>
      <w:tr w:rsidR="00415193" w:rsidRPr="00F16191" w14:paraId="7CED1CDD" w14:textId="77777777" w:rsidTr="00D85752">
        <w:trPr>
          <w:tblHeader/>
        </w:trPr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175620" w14:textId="77777777" w:rsidR="00415193" w:rsidRPr="00F16191" w:rsidRDefault="00415193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Clause number</w:t>
            </w:r>
          </w:p>
        </w:tc>
        <w:tc>
          <w:tcPr>
            <w:tcW w:w="43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4FE40F" w14:textId="77777777" w:rsidR="00415193" w:rsidRPr="00F16191" w:rsidRDefault="00415193" w:rsidP="00D85752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Tender Data</w:t>
            </w:r>
          </w:p>
        </w:tc>
      </w:tr>
      <w:tr w:rsidR="00415193" w:rsidRPr="00F16191" w14:paraId="77085273" w14:textId="77777777" w:rsidTr="00D85752">
        <w:tc>
          <w:tcPr>
            <w:tcW w:w="649" w:type="pct"/>
            <w:tcBorders>
              <w:top w:val="single" w:sz="12" w:space="0" w:color="auto"/>
            </w:tcBorders>
          </w:tcPr>
          <w:p w14:paraId="2F794F95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>3.1</w:t>
            </w:r>
          </w:p>
        </w:tc>
        <w:tc>
          <w:tcPr>
            <w:tcW w:w="4351" w:type="pct"/>
            <w:tcBorders>
              <w:top w:val="single" w:sz="12" w:space="0" w:color="auto"/>
              <w:bottom w:val="single" w:sz="4" w:space="0" w:color="auto"/>
            </w:tcBorders>
          </w:tcPr>
          <w:p w14:paraId="5BEEE65D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The employer is</w:t>
            </w:r>
            <w:r w:rsidRPr="00F16191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ED4FAE">
              <w:rPr>
                <w:rFonts w:ascii="Arial" w:eastAsia="Cambria" w:hAnsi="Arial" w:cs="Arial"/>
                <w:sz w:val="20"/>
                <w:szCs w:val="20"/>
              </w:rPr>
              <w:t>AECI Ghana Limited</w:t>
            </w:r>
          </w:p>
        </w:tc>
      </w:tr>
      <w:tr w:rsidR="00415193" w:rsidRPr="00F16191" w14:paraId="031D339C" w14:textId="77777777" w:rsidTr="00D85752">
        <w:tc>
          <w:tcPr>
            <w:tcW w:w="649" w:type="pct"/>
          </w:tcPr>
          <w:p w14:paraId="15500FB9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>3</w:t>
            </w:r>
            <w:r>
              <w:rPr>
                <w:rFonts w:ascii="Arial" w:eastAsia="Cambria" w:hAnsi="Arial" w:cs="Arial"/>
                <w:sz w:val="20"/>
                <w:szCs w:val="20"/>
              </w:rPr>
              <w:t>.2</w:t>
            </w:r>
          </w:p>
        </w:tc>
        <w:tc>
          <w:tcPr>
            <w:tcW w:w="4351" w:type="pct"/>
            <w:tcBorders>
              <w:bottom w:val="nil"/>
            </w:tcBorders>
          </w:tcPr>
          <w:p w14:paraId="3B77EF1E" w14:textId="77777777" w:rsidR="00415193" w:rsidRPr="00F16191" w:rsidRDefault="00415193" w:rsidP="00D85752">
            <w:pPr>
              <w:tabs>
                <w:tab w:val="left" w:pos="797"/>
              </w:tabs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 xml:space="preserve">The Tender documents issued by </w:t>
            </w:r>
            <w:r w:rsidRPr="00ED4FAE">
              <w:rPr>
                <w:rFonts w:ascii="Arial" w:eastAsia="Cambria" w:hAnsi="Arial" w:cs="Arial"/>
                <w:sz w:val="20"/>
                <w:szCs w:val="20"/>
              </w:rPr>
              <w:t>AECI Ghana Limited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F16191">
              <w:rPr>
                <w:rFonts w:ascii="Arial" w:eastAsia="Cambria" w:hAnsi="Arial" w:cs="Arial"/>
                <w:sz w:val="20"/>
                <w:szCs w:val="20"/>
              </w:rPr>
              <w:t>comprise the documents listed on the contents page.</w:t>
            </w:r>
          </w:p>
        </w:tc>
      </w:tr>
      <w:tr w:rsidR="00415193" w:rsidRPr="00F16191" w14:paraId="7270BC0A" w14:textId="77777777" w:rsidTr="00D85752">
        <w:tc>
          <w:tcPr>
            <w:tcW w:w="649" w:type="pct"/>
          </w:tcPr>
          <w:p w14:paraId="125195C2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3.3</w:t>
            </w:r>
          </w:p>
        </w:tc>
        <w:tc>
          <w:tcPr>
            <w:tcW w:w="4351" w:type="pct"/>
          </w:tcPr>
          <w:p w14:paraId="5EEADBCA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Cambria" w:hAnsi="Arial" w:cs="Arial"/>
                <w:sz w:val="20"/>
                <w:szCs w:val="20"/>
              </w:rPr>
              <w:t>Tenderer is represented by</w:t>
            </w:r>
            <w:r w:rsidRPr="00F16191">
              <w:rPr>
                <w:rFonts w:ascii="Arial" w:eastAsia="Cambria" w:hAnsi="Arial" w:cs="Arial"/>
                <w:sz w:val="20"/>
                <w:szCs w:val="20"/>
              </w:rPr>
              <w:t>:</w:t>
            </w:r>
          </w:p>
          <w:p w14:paraId="72FEBA95" w14:textId="77777777" w:rsidR="00415193" w:rsidRPr="00F16191" w:rsidRDefault="00415193" w:rsidP="00D85752">
            <w:pPr>
              <w:tabs>
                <w:tab w:val="right" w:leader="dot" w:pos="5358"/>
              </w:tabs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b/>
                <w:sz w:val="20"/>
                <w:szCs w:val="20"/>
              </w:rPr>
              <w:t>Name:</w:t>
            </w:r>
            <w:r w:rsidRPr="00F16191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                          Hannah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Heloo</w:t>
            </w:r>
            <w:proofErr w:type="spellEnd"/>
          </w:p>
          <w:p w14:paraId="3148DD0B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MS Mincho" w:hAnsi="Arial" w:cs="Times New Roman"/>
                <w:sz w:val="20"/>
                <w:szCs w:val="20"/>
                <w:lang w:val="it-IT"/>
              </w:rPr>
            </w:pPr>
            <w:r w:rsidRPr="00F16191">
              <w:rPr>
                <w:rFonts w:ascii="Arial" w:eastAsia="MS Mincho" w:hAnsi="Arial" w:cs="Times New Roman"/>
                <w:b/>
                <w:sz w:val="20"/>
                <w:szCs w:val="20"/>
              </w:rPr>
              <w:t>Physical Address</w:t>
            </w:r>
            <w:r w:rsidRPr="00F16191">
              <w:rPr>
                <w:rFonts w:ascii="Arial" w:eastAsia="MS Mincho" w:hAnsi="Arial" w:cs="Times New Roman"/>
                <w:sz w:val="20"/>
                <w:szCs w:val="20"/>
              </w:rPr>
              <w:t>:</w:t>
            </w:r>
            <w:r w:rsidRPr="00F16191">
              <w:rPr>
                <w:rFonts w:ascii="Arial" w:eastAsia="MS Mincho" w:hAnsi="Arial" w:cs="Times New Roman"/>
                <w:sz w:val="20"/>
                <w:szCs w:val="20"/>
              </w:rPr>
              <w:tab/>
            </w:r>
            <w:r w:rsidRPr="00ED4FAE">
              <w:rPr>
                <w:rFonts w:ascii="Arial" w:eastAsia="MS Mincho" w:hAnsi="Arial" w:cs="Times New Roman"/>
                <w:sz w:val="20"/>
                <w:szCs w:val="20"/>
              </w:rPr>
              <w:t>GW5V+MG7, Prestea- Huni Valley District</w:t>
            </w:r>
          </w:p>
          <w:p w14:paraId="5354ACA9" w14:textId="77777777" w:rsidR="00415193" w:rsidRPr="00F16191" w:rsidRDefault="00415193" w:rsidP="00D85752">
            <w:pPr>
              <w:tabs>
                <w:tab w:val="left" w:pos="1152"/>
              </w:tabs>
              <w:spacing w:before="120" w:after="120" w:line="276" w:lineRule="auto"/>
              <w:ind w:left="-18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MS Mincho" w:hAnsi="Arial" w:cs="Times New Roman"/>
                <w:b/>
                <w:sz w:val="20"/>
                <w:szCs w:val="20"/>
              </w:rPr>
              <w:t>Email</w:t>
            </w:r>
            <w:r w:rsidRPr="00F16191">
              <w:rPr>
                <w:rFonts w:ascii="Arial" w:eastAsia="MS Mincho" w:hAnsi="Arial" w:cs="Times New Roman"/>
                <w:sz w:val="20"/>
                <w:szCs w:val="20"/>
              </w:rPr>
              <w:t xml:space="preserve">:                             </w:t>
            </w:r>
            <w:r w:rsidRPr="00ED4FAE">
              <w:rPr>
                <w:rFonts w:ascii="Arial" w:eastAsia="MS Mincho" w:hAnsi="Arial" w:cs="Times New Roman"/>
                <w:sz w:val="20"/>
                <w:szCs w:val="20"/>
              </w:rPr>
              <w:t>Hannah.heloo</w:t>
            </w:r>
            <w:r>
              <w:rPr>
                <w:rFonts w:ascii="Arial" w:eastAsia="MS Mincho" w:hAnsi="Arial" w:cs="Times New Roman"/>
                <w:sz w:val="20"/>
                <w:szCs w:val="20"/>
              </w:rPr>
              <w:t>@aeciworld.com</w:t>
            </w:r>
          </w:p>
        </w:tc>
      </w:tr>
      <w:tr w:rsidR="00415193" w:rsidRPr="00F16191" w14:paraId="1EE0EC8A" w14:textId="77777777" w:rsidTr="00D85752">
        <w:tc>
          <w:tcPr>
            <w:tcW w:w="649" w:type="pct"/>
          </w:tcPr>
          <w:p w14:paraId="69EAB401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3.4</w:t>
            </w:r>
          </w:p>
        </w:tc>
        <w:tc>
          <w:tcPr>
            <w:tcW w:w="4351" w:type="pct"/>
          </w:tcPr>
          <w:p w14:paraId="6C088B9D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>The language of communications is English</w:t>
            </w:r>
          </w:p>
        </w:tc>
      </w:tr>
      <w:tr w:rsidR="00415193" w:rsidRPr="00F16191" w14:paraId="209603F3" w14:textId="77777777" w:rsidTr="00D85752">
        <w:tc>
          <w:tcPr>
            <w:tcW w:w="649" w:type="pct"/>
          </w:tcPr>
          <w:p w14:paraId="35DF3031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3.5</w:t>
            </w:r>
          </w:p>
        </w:tc>
        <w:tc>
          <w:tcPr>
            <w:tcW w:w="4351" w:type="pct"/>
          </w:tcPr>
          <w:p w14:paraId="4E489B45" w14:textId="77777777" w:rsidR="00415193" w:rsidRPr="0050751C" w:rsidRDefault="00415193" w:rsidP="00D85752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50751C">
              <w:rPr>
                <w:rFonts w:ascii="Arial" w:eastAsia="Cambria" w:hAnsi="Arial" w:cs="Arial"/>
                <w:b/>
                <w:sz w:val="20"/>
                <w:szCs w:val="20"/>
              </w:rPr>
              <w:t>ONLY</w:t>
            </w:r>
            <w:r w:rsidRPr="0050751C">
              <w:rPr>
                <w:rFonts w:ascii="Arial" w:eastAsia="Cambria" w:hAnsi="Arial" w:cs="Arial"/>
                <w:sz w:val="20"/>
                <w:szCs w:val="20"/>
              </w:rPr>
              <w:t xml:space="preserve"> those tenderers who satisfy the following </w:t>
            </w:r>
            <w:r w:rsidRPr="0050751C">
              <w:rPr>
                <w:rFonts w:ascii="Arial" w:eastAsia="Cambria" w:hAnsi="Arial" w:cs="Arial"/>
                <w:b/>
                <w:sz w:val="20"/>
                <w:szCs w:val="20"/>
              </w:rPr>
              <w:t>ELIGIBILITY CRITERIA</w:t>
            </w:r>
            <w:r w:rsidRPr="0050751C">
              <w:rPr>
                <w:rFonts w:ascii="Arial" w:eastAsia="Cambria" w:hAnsi="Arial" w:cs="Arial"/>
                <w:sz w:val="20"/>
                <w:szCs w:val="20"/>
              </w:rPr>
              <w:t xml:space="preserve"> and who provide the required evidence in their tender submission, are eligible to submit tenders and have their tenders evaluated:</w:t>
            </w:r>
          </w:p>
          <w:p w14:paraId="52798D3E" w14:textId="77777777" w:rsidR="00415193" w:rsidRPr="0050751C" w:rsidRDefault="00415193" w:rsidP="00D85752">
            <w:pPr>
              <w:widowControl w:val="0"/>
              <w:tabs>
                <w:tab w:val="left" w:pos="-720"/>
              </w:tabs>
              <w:spacing w:before="120" w:after="120" w:line="276" w:lineRule="auto"/>
              <w:ind w:right="57"/>
              <w:jc w:val="both"/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50751C">
              <w:rPr>
                <w:rFonts w:ascii="Arial" w:eastAsia="Cambria" w:hAnsi="Arial" w:cs="Arial"/>
                <w:bCs/>
                <w:sz w:val="20"/>
                <w:szCs w:val="20"/>
              </w:rPr>
              <w:t xml:space="preserve">The tenderer: </w:t>
            </w:r>
          </w:p>
          <w:p w14:paraId="1C2C61F0" w14:textId="77777777" w:rsidR="00415193" w:rsidRPr="0050751C" w:rsidRDefault="00415193" w:rsidP="00415193">
            <w:pPr>
              <w:widowControl w:val="0"/>
              <w:numPr>
                <w:ilvl w:val="0"/>
                <w:numId w:val="1"/>
              </w:numPr>
              <w:tabs>
                <w:tab w:val="left" w:pos="-720"/>
                <w:tab w:val="left" w:pos="691"/>
              </w:tabs>
              <w:autoSpaceDE w:val="0"/>
              <w:autoSpaceDN w:val="0"/>
              <w:adjustRightInd w:val="0"/>
              <w:spacing w:before="60" w:after="60" w:line="276" w:lineRule="auto"/>
              <w:ind w:right="57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50751C">
              <w:rPr>
                <w:rFonts w:ascii="Arial" w:eastAsia="Cambria" w:hAnsi="Arial" w:cs="Arial"/>
                <w:sz w:val="20"/>
                <w:szCs w:val="20"/>
              </w:rPr>
              <w:t xml:space="preserve">Only those tenderers who are registered </w:t>
            </w:r>
            <w:r>
              <w:rPr>
                <w:rFonts w:ascii="Arial" w:eastAsia="Cambria" w:hAnsi="Arial" w:cs="Arial"/>
                <w:sz w:val="20"/>
                <w:szCs w:val="20"/>
              </w:rPr>
              <w:t>vendors</w:t>
            </w:r>
            <w:r w:rsidRPr="0050751C">
              <w:rPr>
                <w:rFonts w:ascii="Arial" w:eastAsia="Cambria" w:hAnsi="Arial" w:cs="Arial"/>
                <w:sz w:val="20"/>
                <w:szCs w:val="20"/>
              </w:rPr>
              <w:t xml:space="preserve">, or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satisfy the criteria to become registered vendors and are </w:t>
            </w:r>
            <w:r w:rsidRPr="0050751C">
              <w:rPr>
                <w:rFonts w:ascii="Arial" w:eastAsia="Cambria" w:hAnsi="Arial" w:cs="Arial"/>
                <w:sz w:val="20"/>
                <w:szCs w:val="20"/>
              </w:rPr>
              <w:t xml:space="preserve">capable of being so registered prior to the evaluation of submissions, are eligible to have their tenders evaluated: </w:t>
            </w:r>
          </w:p>
          <w:p w14:paraId="6DB5E291" w14:textId="77777777" w:rsidR="00415193" w:rsidRPr="0050751C" w:rsidRDefault="00415193" w:rsidP="00415193">
            <w:pPr>
              <w:widowControl w:val="0"/>
              <w:numPr>
                <w:ilvl w:val="0"/>
                <w:numId w:val="1"/>
              </w:numPr>
              <w:tabs>
                <w:tab w:val="left" w:pos="-720"/>
                <w:tab w:val="left" w:pos="691"/>
              </w:tabs>
              <w:autoSpaceDE w:val="0"/>
              <w:autoSpaceDN w:val="0"/>
              <w:adjustRightInd w:val="0"/>
              <w:spacing w:before="60" w:after="60" w:line="276" w:lineRule="auto"/>
              <w:ind w:right="57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50751C">
              <w:rPr>
                <w:rFonts w:ascii="Arial" w:eastAsia="Cambria" w:hAnsi="Arial" w:cs="Arial"/>
                <w:sz w:val="20"/>
                <w:szCs w:val="20"/>
              </w:rPr>
              <w:t>Tenderers may only tender under 1 (one) company or 1 (one) consortium – tendering with more than 1 company or consortium will result in immediate disqualification. The employer will recognise the JV/Consortium as single entity for the duration of the contract.</w:t>
            </w:r>
          </w:p>
          <w:p w14:paraId="75C1BF39" w14:textId="77777777" w:rsidR="00415193" w:rsidRPr="0050751C" w:rsidRDefault="00415193" w:rsidP="00D85752">
            <w:pPr>
              <w:widowControl w:val="0"/>
              <w:tabs>
                <w:tab w:val="left" w:pos="-720"/>
                <w:tab w:val="left" w:pos="691"/>
              </w:tabs>
              <w:autoSpaceDE w:val="0"/>
              <w:autoSpaceDN w:val="0"/>
              <w:adjustRightInd w:val="0"/>
              <w:spacing w:before="60" w:after="60" w:line="276" w:lineRule="auto"/>
              <w:ind w:right="57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4D1D2F0" w14:textId="77777777" w:rsidR="00415193" w:rsidRPr="0050751C" w:rsidRDefault="00415193" w:rsidP="00D85752">
            <w:pPr>
              <w:widowControl w:val="0"/>
              <w:tabs>
                <w:tab w:val="left" w:pos="-720"/>
                <w:tab w:val="left" w:pos="691"/>
              </w:tabs>
              <w:autoSpaceDE w:val="0"/>
              <w:autoSpaceDN w:val="0"/>
              <w:adjustRightInd w:val="0"/>
              <w:spacing w:before="60" w:after="60" w:line="276" w:lineRule="auto"/>
              <w:ind w:right="57"/>
              <w:jc w:val="both"/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50751C">
              <w:rPr>
                <w:rFonts w:ascii="Arial" w:eastAsia="Cambria" w:hAnsi="Arial" w:cs="Arial"/>
                <w:sz w:val="20"/>
                <w:szCs w:val="20"/>
              </w:rPr>
              <w:t>None of the documents with correction fluid on them. Any wrong entry, in case of correction, it must be cancelled by a single stroke and initialled by the Authorised signatory.</w:t>
            </w:r>
          </w:p>
        </w:tc>
      </w:tr>
      <w:tr w:rsidR="00415193" w:rsidRPr="00F16191" w14:paraId="612DBC48" w14:textId="77777777" w:rsidTr="00D85752">
        <w:tc>
          <w:tcPr>
            <w:tcW w:w="649" w:type="pct"/>
          </w:tcPr>
          <w:p w14:paraId="3622550C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3.6</w:t>
            </w:r>
          </w:p>
        </w:tc>
        <w:tc>
          <w:tcPr>
            <w:tcW w:w="4351" w:type="pct"/>
          </w:tcPr>
          <w:p w14:paraId="5E258A0B" w14:textId="77777777" w:rsidR="00415193" w:rsidRPr="00F16191" w:rsidRDefault="00415193" w:rsidP="00D8575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iCs/>
                <w:sz w:val="20"/>
                <w:szCs w:val="20"/>
              </w:rPr>
              <w:t xml:space="preserve">No </w:t>
            </w:r>
            <w:r w:rsidRPr="00F16191">
              <w:rPr>
                <w:rFonts w:ascii="Arial" w:eastAsia="Cambria" w:hAnsi="Arial" w:cs="Arial"/>
                <w:sz w:val="20"/>
                <w:szCs w:val="20"/>
              </w:rPr>
              <w:t>alternative tender offer will be considered.</w:t>
            </w:r>
          </w:p>
        </w:tc>
      </w:tr>
      <w:tr w:rsidR="00415193" w:rsidRPr="00F16191" w14:paraId="1090ACAC" w14:textId="77777777" w:rsidTr="00D85752">
        <w:tc>
          <w:tcPr>
            <w:tcW w:w="649" w:type="pct"/>
          </w:tcPr>
          <w:p w14:paraId="329D12C3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3.7</w:t>
            </w:r>
          </w:p>
        </w:tc>
        <w:tc>
          <w:tcPr>
            <w:tcW w:w="4351" w:type="pct"/>
          </w:tcPr>
          <w:p w14:paraId="4EE59F4D" w14:textId="77777777" w:rsidR="00415193" w:rsidRPr="00F16191" w:rsidRDefault="00415193" w:rsidP="00D85752">
            <w:pPr>
              <w:tabs>
                <w:tab w:val="right" w:leader="dot" w:pos="1701"/>
              </w:tabs>
              <w:spacing w:before="120" w:after="0" w:line="276" w:lineRule="auto"/>
              <w:ind w:left="57" w:right="57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F16191">
              <w:rPr>
                <w:rFonts w:ascii="Arial" w:eastAsia="MS Mincho" w:hAnsi="Arial" w:cs="Arial"/>
                <w:sz w:val="20"/>
                <w:szCs w:val="20"/>
                <w:lang w:eastAsia="en-ZA"/>
              </w:rPr>
              <w:t xml:space="preserve">The tenderer is required to meet the following conditions in addition to the requirement for eligibility criteria as mentioned in Clause </w:t>
            </w:r>
            <w:r>
              <w:rPr>
                <w:rFonts w:ascii="Arial" w:eastAsia="MS Mincho" w:hAnsi="Arial" w:cs="Arial"/>
                <w:sz w:val="20"/>
                <w:szCs w:val="20"/>
                <w:lang w:eastAsia="en-ZA"/>
              </w:rPr>
              <w:t>3.5</w:t>
            </w:r>
            <w:r w:rsidRPr="00F16191">
              <w:rPr>
                <w:rFonts w:ascii="Arial" w:eastAsia="MS Mincho" w:hAnsi="Arial" w:cs="Arial"/>
                <w:sz w:val="20"/>
                <w:szCs w:val="20"/>
                <w:lang w:eastAsia="en-ZA"/>
              </w:rPr>
              <w:t xml:space="preserve">. </w:t>
            </w:r>
          </w:p>
          <w:p w14:paraId="5A1D2C5B" w14:textId="77777777" w:rsidR="00415193" w:rsidRPr="00F16191" w:rsidRDefault="00415193" w:rsidP="00415193">
            <w:pPr>
              <w:numPr>
                <w:ilvl w:val="0"/>
                <w:numId w:val="2"/>
              </w:numPr>
              <w:spacing w:before="240" w:after="0" w:line="240" w:lineRule="auto"/>
              <w:ind w:right="5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6191">
              <w:rPr>
                <w:rFonts w:ascii="Arial" w:eastAsia="MS Mincho" w:hAnsi="Arial" w:cs="Arial"/>
                <w:sz w:val="20"/>
                <w:szCs w:val="20"/>
              </w:rPr>
              <w:t>All declaration pages fully completed, signed and submitted.</w:t>
            </w:r>
          </w:p>
          <w:p w14:paraId="2C3B81AA" w14:textId="77777777" w:rsidR="00415193" w:rsidRDefault="00415193" w:rsidP="00415193">
            <w:pPr>
              <w:numPr>
                <w:ilvl w:val="0"/>
                <w:numId w:val="2"/>
              </w:numPr>
              <w:spacing w:before="240" w:after="0" w:line="240" w:lineRule="auto"/>
              <w:ind w:right="5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6191">
              <w:rPr>
                <w:rFonts w:ascii="Arial" w:eastAsia="MS Mincho" w:hAnsi="Arial" w:cs="Arial"/>
                <w:sz w:val="20"/>
                <w:szCs w:val="20"/>
              </w:rPr>
              <w:t>The tender documents completed in all respect, signed off by the authorised person of the tenderer wherever spaces are provided in permanent ink.</w:t>
            </w:r>
          </w:p>
          <w:p w14:paraId="01EA3219" w14:textId="77777777" w:rsidR="00415193" w:rsidRPr="00F16191" w:rsidRDefault="00415193" w:rsidP="00D85752">
            <w:pPr>
              <w:tabs>
                <w:tab w:val="right" w:leader="dot" w:pos="2552"/>
              </w:tabs>
              <w:spacing w:before="120" w:after="120" w:line="276" w:lineRule="auto"/>
              <w:ind w:left="57" w:right="57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MS Mincho" w:hAnsi="Arial" w:cs="Arial"/>
                <w:sz w:val="20"/>
                <w:szCs w:val="20"/>
              </w:rPr>
              <w:t xml:space="preserve">The tender document issued by </w:t>
            </w:r>
            <w:r w:rsidRPr="00F67392">
              <w:rPr>
                <w:rFonts w:ascii="Arial" w:eastAsia="MS Mincho" w:hAnsi="Arial" w:cs="Arial"/>
                <w:sz w:val="20"/>
                <w:szCs w:val="20"/>
              </w:rPr>
              <w:t>AECI Ghana Limited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F16191">
              <w:rPr>
                <w:rFonts w:ascii="Arial" w:eastAsia="MS Mincho" w:hAnsi="Arial" w:cs="Arial"/>
                <w:sz w:val="20"/>
                <w:szCs w:val="20"/>
              </w:rPr>
              <w:t>is not tampered with and content in the tender document remains intact.</w:t>
            </w:r>
          </w:p>
        </w:tc>
      </w:tr>
      <w:tr w:rsidR="00415193" w:rsidRPr="00F16191" w14:paraId="29B6D649" w14:textId="77777777" w:rsidTr="00D85752">
        <w:tc>
          <w:tcPr>
            <w:tcW w:w="649" w:type="pct"/>
          </w:tcPr>
          <w:p w14:paraId="193CEFD2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3.8</w:t>
            </w:r>
          </w:p>
        </w:tc>
        <w:tc>
          <w:tcPr>
            <w:tcW w:w="4351" w:type="pct"/>
          </w:tcPr>
          <w:p w14:paraId="51C911A5" w14:textId="77777777" w:rsidR="00415193" w:rsidRPr="00F16191" w:rsidRDefault="00415193" w:rsidP="00D85752">
            <w:pPr>
              <w:spacing w:before="120" w:after="120" w:line="240" w:lineRule="auto"/>
              <w:jc w:val="both"/>
              <w:rPr>
                <w:rFonts w:ascii="Arial" w:eastAsia="Cambria" w:hAnsi="Arial" w:cs="Times New Roman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Tender offer shall be </w:t>
            </w:r>
            <w:r w:rsidRPr="00387E14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submitted as an original, one copy of the original </w:t>
            </w:r>
          </w:p>
        </w:tc>
      </w:tr>
      <w:tr w:rsidR="00415193" w:rsidRPr="00F16191" w14:paraId="64C129B3" w14:textId="77777777" w:rsidTr="00D85752">
        <w:tc>
          <w:tcPr>
            <w:tcW w:w="649" w:type="pct"/>
          </w:tcPr>
          <w:p w14:paraId="66478536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3.9</w:t>
            </w:r>
          </w:p>
        </w:tc>
        <w:tc>
          <w:tcPr>
            <w:tcW w:w="4351" w:type="pct"/>
          </w:tcPr>
          <w:p w14:paraId="60CE4886" w14:textId="77777777" w:rsidR="00415193" w:rsidRPr="00F16191" w:rsidRDefault="00415193" w:rsidP="00415193">
            <w:pPr>
              <w:numPr>
                <w:ilvl w:val="0"/>
                <w:numId w:val="2"/>
              </w:numPr>
              <w:spacing w:before="240" w:after="0" w:line="240" w:lineRule="auto"/>
              <w:ind w:right="5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>Telephonic, telegraphic, telex, facsimile tender offers will not be accepted.</w:t>
            </w:r>
          </w:p>
        </w:tc>
      </w:tr>
      <w:tr w:rsidR="00415193" w:rsidRPr="00F16191" w14:paraId="3DFE92BE" w14:textId="77777777" w:rsidTr="00D85752">
        <w:tc>
          <w:tcPr>
            <w:tcW w:w="649" w:type="pct"/>
          </w:tcPr>
          <w:p w14:paraId="61699CE1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4351" w:type="pct"/>
          </w:tcPr>
          <w:p w14:paraId="2BB45050" w14:textId="77777777" w:rsidR="00415193" w:rsidRDefault="00415193" w:rsidP="00D85752">
            <w:pPr>
              <w:spacing w:before="120" w:after="12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</w:rPr>
              <w:t xml:space="preserve">The closing time for submission of tender is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25 October 2024 </w:t>
            </w:r>
            <w:r w:rsidRPr="00F16191">
              <w:rPr>
                <w:rFonts w:ascii="Arial" w:eastAsia="Cambria" w:hAnsi="Arial" w:cs="Arial"/>
                <w:sz w:val="20"/>
                <w:szCs w:val="20"/>
              </w:rPr>
              <w:t>as stated in the Tender Notice</w:t>
            </w:r>
            <w:r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  <w:p w14:paraId="3F79C81B" w14:textId="77777777" w:rsidR="00415193" w:rsidRPr="00F16191" w:rsidRDefault="00415193" w:rsidP="00D85752">
            <w:pPr>
              <w:spacing w:before="120" w:after="12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Adjudication will be done within 7 days from close</w:t>
            </w:r>
            <w:r w:rsidRPr="00F16191">
              <w:rPr>
                <w:rFonts w:ascii="Arial" w:eastAsia="Cambria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Cambria" w:hAnsi="Arial" w:cs="Arial"/>
                <w:sz w:val="20"/>
                <w:szCs w:val="20"/>
              </w:rPr>
              <w:t>delivery must be done before 30 November 2024</w:t>
            </w:r>
          </w:p>
        </w:tc>
      </w:tr>
      <w:tr w:rsidR="00415193" w:rsidRPr="00F16191" w14:paraId="52E6FDA1" w14:textId="77777777" w:rsidTr="00D85752">
        <w:tc>
          <w:tcPr>
            <w:tcW w:w="649" w:type="pct"/>
          </w:tcPr>
          <w:p w14:paraId="6A50622E" w14:textId="77777777" w:rsidR="00415193" w:rsidRPr="00856DDF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56DDF">
              <w:rPr>
                <w:rFonts w:ascii="Arial" w:eastAsia="Cambria" w:hAnsi="Arial" w:cs="Arial"/>
                <w:sz w:val="20"/>
                <w:szCs w:val="20"/>
              </w:rPr>
              <w:t>3.11</w:t>
            </w:r>
          </w:p>
        </w:tc>
        <w:tc>
          <w:tcPr>
            <w:tcW w:w="4351" w:type="pct"/>
          </w:tcPr>
          <w:p w14:paraId="28D372C7" w14:textId="77777777" w:rsidR="00415193" w:rsidRPr="00F16191" w:rsidRDefault="00415193" w:rsidP="00D85752">
            <w:pPr>
              <w:tabs>
                <w:tab w:val="left" w:pos="4590"/>
              </w:tabs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20"/>
                <w:szCs w:val="20"/>
                <w:lang w:eastAsia="en-ZA"/>
              </w:rPr>
              <w:t xml:space="preserve">The </w:t>
            </w:r>
            <w:r>
              <w:rPr>
                <w:rFonts w:ascii="Arial" w:eastAsia="Cambria" w:hAnsi="Arial" w:cs="Arial"/>
                <w:sz w:val="20"/>
                <w:szCs w:val="20"/>
                <w:lang w:eastAsia="en-ZA"/>
              </w:rPr>
              <w:t>tenderer may</w:t>
            </w:r>
            <w:r w:rsidRPr="00F16191">
              <w:rPr>
                <w:rFonts w:ascii="Arial" w:eastAsia="Cambria" w:hAnsi="Arial" w:cs="Arial"/>
                <w:sz w:val="20"/>
                <w:szCs w:val="20"/>
                <w:lang w:eastAsia="en-ZA"/>
              </w:rPr>
              <w:t xml:space="preserve"> issue addenda until </w:t>
            </w:r>
            <w:r w:rsidRPr="00F16191">
              <w:rPr>
                <w:rFonts w:ascii="Arial" w:eastAsia="Cambria" w:hAnsi="Arial" w:cs="Times New Roman"/>
                <w:sz w:val="20"/>
                <w:szCs w:val="20"/>
              </w:rPr>
              <w:t xml:space="preserve">3 </w:t>
            </w:r>
            <w:r w:rsidRPr="00F16191">
              <w:rPr>
                <w:rFonts w:ascii="Arial" w:eastAsia="Cambria" w:hAnsi="Arial" w:cs="Arial"/>
                <w:sz w:val="20"/>
                <w:szCs w:val="20"/>
                <w:lang w:eastAsia="en-ZA"/>
              </w:rPr>
              <w:t>working days before tender closing time.</w:t>
            </w:r>
          </w:p>
        </w:tc>
      </w:tr>
      <w:tr w:rsidR="00415193" w:rsidRPr="00F16191" w14:paraId="03BADCE3" w14:textId="77777777" w:rsidTr="00D85752">
        <w:tc>
          <w:tcPr>
            <w:tcW w:w="649" w:type="pct"/>
          </w:tcPr>
          <w:p w14:paraId="029CF251" w14:textId="77777777" w:rsidR="00415193" w:rsidRPr="00F16191" w:rsidRDefault="00415193" w:rsidP="00D85752">
            <w:pPr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3.12</w:t>
            </w:r>
          </w:p>
        </w:tc>
        <w:tc>
          <w:tcPr>
            <w:tcW w:w="4351" w:type="pct"/>
          </w:tcPr>
          <w:p w14:paraId="5A08C552" w14:textId="77777777" w:rsidR="00415193" w:rsidRPr="00F16191" w:rsidRDefault="00415193" w:rsidP="00D85752">
            <w:pPr>
              <w:tabs>
                <w:tab w:val="center" w:pos="1205"/>
                <w:tab w:val="center" w:pos="3532"/>
              </w:tabs>
              <w:spacing w:before="120" w:after="4" w:line="249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b/>
                <w:sz w:val="18"/>
                <w:szCs w:val="18"/>
              </w:rPr>
              <w:t>Cancellation and re</w:t>
            </w:r>
            <w:r w:rsidRPr="00F16191">
              <w:rPr>
                <w:rFonts w:ascii="Cambria Math" w:eastAsia="Cambria" w:hAnsi="Cambria Math" w:cs="Cambria Math"/>
                <w:b/>
                <w:sz w:val="18"/>
                <w:szCs w:val="18"/>
              </w:rPr>
              <w:t>‐</w:t>
            </w:r>
            <w:r w:rsidRPr="00F16191">
              <w:rPr>
                <w:rFonts w:ascii="Arial" w:eastAsia="Cambria" w:hAnsi="Arial" w:cs="Arial"/>
                <w:b/>
                <w:sz w:val="18"/>
                <w:szCs w:val="18"/>
              </w:rPr>
              <w:t>invitation of tenders</w:t>
            </w:r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  </w:t>
            </w:r>
          </w:p>
          <w:p w14:paraId="1D86C7F7" w14:textId="77777777" w:rsidR="00415193" w:rsidRPr="00F16191" w:rsidRDefault="00415193" w:rsidP="00D85752">
            <w:pPr>
              <w:tabs>
                <w:tab w:val="center" w:pos="1279"/>
                <w:tab w:val="center" w:pos="4960"/>
              </w:tabs>
              <w:spacing w:before="120" w:after="4" w:line="248" w:lineRule="auto"/>
              <w:jc w:val="both"/>
              <w:rPr>
                <w:rFonts w:ascii="Cambria Math" w:eastAsia="Cambria" w:hAnsi="Cambria Math" w:cs="Cambria Math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ab/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The employer </w:t>
            </w:r>
            <w:r w:rsidRPr="00F16191">
              <w:rPr>
                <w:rFonts w:ascii="Arial" w:eastAsia="Cambria" w:hAnsi="Arial" w:cs="Arial"/>
                <w:sz w:val="18"/>
                <w:szCs w:val="18"/>
              </w:rPr>
              <w:t>may, prior to the award of the tender, cancel the tender if</w:t>
            </w:r>
            <w:r w:rsidRPr="00F16191">
              <w:rPr>
                <w:rFonts w:ascii="Cambria Math" w:eastAsia="Cambria" w:hAnsi="Cambria Math" w:cs="Cambria Math"/>
                <w:sz w:val="18"/>
                <w:szCs w:val="18"/>
              </w:rPr>
              <w:t>‐</w:t>
            </w:r>
          </w:p>
          <w:p w14:paraId="56B20BCC" w14:textId="77777777" w:rsidR="00415193" w:rsidRPr="00F16191" w:rsidRDefault="00415193" w:rsidP="00D85752">
            <w:pPr>
              <w:tabs>
                <w:tab w:val="center" w:pos="1279"/>
                <w:tab w:val="center" w:pos="4960"/>
              </w:tabs>
              <w:spacing w:before="120" w:after="4" w:line="248" w:lineRule="auto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  <w:p w14:paraId="077B6C60" w14:textId="77777777" w:rsidR="00415193" w:rsidRPr="00F16191" w:rsidRDefault="00415193" w:rsidP="00415193">
            <w:pPr>
              <w:numPr>
                <w:ilvl w:val="0"/>
                <w:numId w:val="3"/>
              </w:numPr>
              <w:spacing w:before="120" w:after="4" w:line="248" w:lineRule="auto"/>
              <w:ind w:left="340" w:hanging="283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>due to changed circumstances, there is no longer a need for the services, works or goods requested; or</w:t>
            </w:r>
          </w:p>
          <w:p w14:paraId="24F95B7E" w14:textId="77777777" w:rsidR="00415193" w:rsidRPr="00F16191" w:rsidRDefault="00415193" w:rsidP="00415193">
            <w:pPr>
              <w:numPr>
                <w:ilvl w:val="0"/>
                <w:numId w:val="3"/>
              </w:numPr>
              <w:spacing w:before="120" w:after="4" w:line="248" w:lineRule="auto"/>
              <w:ind w:left="340" w:hanging="283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funds are no longer available to cover the total envisaged expenditure; or </w:t>
            </w:r>
          </w:p>
          <w:p w14:paraId="0D37C898" w14:textId="77777777" w:rsidR="00415193" w:rsidRPr="00F16191" w:rsidRDefault="00415193" w:rsidP="00415193">
            <w:pPr>
              <w:numPr>
                <w:ilvl w:val="0"/>
                <w:numId w:val="3"/>
              </w:numPr>
              <w:spacing w:before="120" w:after="4" w:line="248" w:lineRule="auto"/>
              <w:ind w:left="340" w:hanging="283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no acceptable tenders are received; or </w:t>
            </w:r>
          </w:p>
          <w:p w14:paraId="30171E33" w14:textId="77777777" w:rsidR="00415193" w:rsidRPr="00F16191" w:rsidRDefault="00415193" w:rsidP="00415193">
            <w:pPr>
              <w:numPr>
                <w:ilvl w:val="0"/>
                <w:numId w:val="3"/>
              </w:numPr>
              <w:spacing w:before="120" w:after="4" w:line="248" w:lineRule="auto"/>
              <w:ind w:left="340" w:hanging="283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>Tender validity period has expired; or</w:t>
            </w:r>
          </w:p>
          <w:p w14:paraId="01EE6019" w14:textId="77777777" w:rsidR="00415193" w:rsidRPr="00F16191" w:rsidRDefault="00415193" w:rsidP="00415193">
            <w:pPr>
              <w:numPr>
                <w:ilvl w:val="0"/>
                <w:numId w:val="3"/>
              </w:numPr>
              <w:spacing w:before="120" w:after="4" w:line="248" w:lineRule="auto"/>
              <w:ind w:left="340" w:hanging="283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>Gross irregularities in the tender processes and/or tender documents; or</w:t>
            </w:r>
          </w:p>
          <w:p w14:paraId="30E96331" w14:textId="77777777" w:rsidR="00415193" w:rsidRPr="00F16191" w:rsidRDefault="00415193" w:rsidP="00415193">
            <w:pPr>
              <w:numPr>
                <w:ilvl w:val="0"/>
                <w:numId w:val="3"/>
              </w:numPr>
              <w:spacing w:before="120" w:after="4" w:line="248" w:lineRule="auto"/>
              <w:ind w:left="340" w:hanging="283"/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No market related offer received (after attempts of negotiation processes) </w:t>
            </w:r>
          </w:p>
          <w:p w14:paraId="048F2CEB" w14:textId="77777777" w:rsidR="00415193" w:rsidRPr="00F16191" w:rsidRDefault="00415193" w:rsidP="00D85752">
            <w:pPr>
              <w:tabs>
                <w:tab w:val="left" w:pos="4590"/>
              </w:tabs>
              <w:spacing w:before="120" w:after="12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F16191">
              <w:rPr>
                <w:rFonts w:ascii="Arial" w:eastAsia="Cambria" w:hAnsi="Arial" w:cs="Arial"/>
                <w:sz w:val="18"/>
                <w:szCs w:val="18"/>
              </w:rPr>
              <w:t xml:space="preserve">Where applicable, the decision to cancel the tender </w:t>
            </w:r>
            <w:r>
              <w:rPr>
                <w:rFonts w:ascii="Arial" w:eastAsia="Cambria" w:hAnsi="Arial" w:cs="Arial"/>
                <w:sz w:val="18"/>
                <w:szCs w:val="18"/>
              </w:rPr>
              <w:t>will be circulated</w:t>
            </w:r>
            <w:r w:rsidRPr="00F16191">
              <w:rPr>
                <w:rFonts w:ascii="Arial" w:eastAsia="Cambria" w:hAnsi="Arial" w:cs="Arial"/>
                <w:sz w:val="18"/>
                <w:szCs w:val="18"/>
              </w:rPr>
              <w:t>.</w:t>
            </w:r>
          </w:p>
        </w:tc>
      </w:tr>
    </w:tbl>
    <w:p w14:paraId="3C014F1B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4FA1"/>
    <w:multiLevelType w:val="hybridMultilevel"/>
    <w:tmpl w:val="45C0426A"/>
    <w:lvl w:ilvl="0" w:tplc="2786C9A8">
      <w:start w:val="1"/>
      <w:numFmt w:val="lowerLetter"/>
      <w:lvlRestart w:val="0"/>
      <w:lvlText w:val="(%1)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D58EEB8">
      <w:start w:val="1"/>
      <w:numFmt w:val="lowerLetter"/>
      <w:lvlText w:val="%2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BC66AE">
      <w:start w:val="1"/>
      <w:numFmt w:val="lowerRoman"/>
      <w:lvlText w:val="%3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2A2F3DC">
      <w:start w:val="1"/>
      <w:numFmt w:val="decimal"/>
      <w:lvlText w:val="%4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409146">
      <w:start w:val="1"/>
      <w:numFmt w:val="lowerLetter"/>
      <w:lvlText w:val="%5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80234">
      <w:start w:val="1"/>
      <w:numFmt w:val="lowerRoman"/>
      <w:lvlText w:val="%6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0C29AC">
      <w:start w:val="1"/>
      <w:numFmt w:val="decimal"/>
      <w:lvlText w:val="%7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28C274">
      <w:start w:val="1"/>
      <w:numFmt w:val="lowerLetter"/>
      <w:lvlText w:val="%8"/>
      <w:lvlJc w:val="left"/>
      <w:pPr>
        <w:ind w:left="7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C28CB8E">
      <w:start w:val="1"/>
      <w:numFmt w:val="lowerRoman"/>
      <w:lvlText w:val="%9"/>
      <w:lvlJc w:val="left"/>
      <w:pPr>
        <w:ind w:left="7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0F5D0A"/>
    <w:multiLevelType w:val="hybridMultilevel"/>
    <w:tmpl w:val="5BBA70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57728"/>
    <w:multiLevelType w:val="hybridMultilevel"/>
    <w:tmpl w:val="AF4EE75A"/>
    <w:lvl w:ilvl="0" w:tplc="EE98E7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33165">
    <w:abstractNumId w:val="1"/>
  </w:num>
  <w:num w:numId="2" w16cid:durableId="930971111">
    <w:abstractNumId w:val="2"/>
  </w:num>
  <w:num w:numId="3" w16cid:durableId="30050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93"/>
    <w:rsid w:val="002077B9"/>
    <w:rsid w:val="00415193"/>
    <w:rsid w:val="004C3323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78B2"/>
  <w15:chartTrackingRefBased/>
  <w15:docId w15:val="{84EBE31A-78B6-4C47-8B32-50965404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93"/>
    <w:rPr>
      <w:rFonts w:eastAsiaTheme="minorHAnsi"/>
      <w:kern w:val="0"/>
      <w:lang w:val="en-ZA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2024-09-25T14:49:00Z</dcterms:created>
  <dcterms:modified xsi:type="dcterms:W3CDTF">2024-09-25T14:50:00Z</dcterms:modified>
</cp:coreProperties>
</file>